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9D87" w14:textId="77777777" w:rsidR="0046434B" w:rsidRDefault="0046434B" w:rsidP="00E342AA">
      <w:pPr>
        <w:ind w:left="-284"/>
        <w:rPr>
          <w:rFonts w:cs="Arial"/>
          <w:color w:val="000000"/>
        </w:rPr>
      </w:pPr>
    </w:p>
    <w:p w14:paraId="572688DD" w14:textId="77777777" w:rsidR="00F1308E" w:rsidRDefault="00F1308E" w:rsidP="00E342AA">
      <w:pPr>
        <w:ind w:left="-284"/>
        <w:rPr>
          <w:rFonts w:cs="Arial"/>
          <w:color w:val="000000"/>
        </w:rPr>
      </w:pPr>
    </w:p>
    <w:p w14:paraId="7C5D62AB" w14:textId="77777777" w:rsidR="00F1308E" w:rsidRDefault="00F1308E" w:rsidP="00E342AA">
      <w:pPr>
        <w:ind w:left="-284"/>
        <w:rPr>
          <w:rFonts w:cs="Arial"/>
          <w:color w:val="000000"/>
        </w:rPr>
      </w:pPr>
    </w:p>
    <w:p w14:paraId="259F38E7" w14:textId="77777777" w:rsidR="00F1308E" w:rsidRPr="00A64DF0" w:rsidRDefault="00F1308E" w:rsidP="00E342AA">
      <w:pPr>
        <w:ind w:left="-284"/>
        <w:rPr>
          <w:rFonts w:cs="Arial"/>
          <w:color w:val="000000"/>
        </w:rPr>
      </w:pPr>
    </w:p>
    <w:p w14:paraId="06C72C92" w14:textId="77777777" w:rsidR="0046434B" w:rsidRPr="00A64DF0" w:rsidRDefault="0046434B" w:rsidP="00E342AA">
      <w:pPr>
        <w:ind w:left="-284"/>
        <w:rPr>
          <w:rFonts w:cs="Arial"/>
          <w:color w:val="000000"/>
        </w:rPr>
      </w:pPr>
    </w:p>
    <w:p w14:paraId="4987AE9F" w14:textId="2703BABC" w:rsidR="0072513C" w:rsidRPr="00A64DF0" w:rsidRDefault="00F1308E" w:rsidP="0072513C">
      <w:pPr>
        <w:rPr>
          <w:rFonts w:cs="Arial"/>
          <w:color w:val="000000"/>
        </w:rPr>
      </w:pPr>
      <w:r>
        <w:rPr>
          <w:rFonts w:cs="Arial"/>
          <w:noProof/>
          <w:color w:val="000000"/>
          <w:lang w:eastAsia="en-GB"/>
        </w:rPr>
        <w:object w:dxaOrig="1440" w:dyaOrig="1440" w14:anchorId="13A63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pt;margin-top:-17.45pt;width:83.8pt;height:72.9pt;z-index:251668480" o:allowincell="f">
            <v:imagedata r:id="rId9" o:title=""/>
          </v:shape>
          <o:OLEObject Type="Embed" ProgID="Word.Picture.8" ShapeID="_x0000_s1028" DrawAspect="Content" ObjectID="_1816409843" r:id="rId10"/>
        </w:object>
      </w:r>
    </w:p>
    <w:p w14:paraId="7542DFC7" w14:textId="5CC5B027" w:rsidR="0072513C" w:rsidRPr="00A64DF0" w:rsidRDefault="0072513C" w:rsidP="0072513C">
      <w:pPr>
        <w:rPr>
          <w:rFonts w:cs="Arial"/>
          <w:color w:val="000000"/>
        </w:rPr>
      </w:pPr>
    </w:p>
    <w:p w14:paraId="218FC337" w14:textId="77777777" w:rsidR="0072513C" w:rsidRPr="00A64DF0" w:rsidRDefault="0072513C" w:rsidP="0072513C">
      <w:pPr>
        <w:rPr>
          <w:rFonts w:cs="Arial"/>
          <w:color w:val="000000"/>
        </w:rPr>
      </w:pPr>
    </w:p>
    <w:p w14:paraId="2340DA71" w14:textId="77777777" w:rsidR="0072513C" w:rsidRPr="00A64DF0" w:rsidRDefault="0072513C" w:rsidP="0072513C">
      <w:pPr>
        <w:rPr>
          <w:rFonts w:cs="Arial"/>
          <w:color w:val="000000"/>
        </w:rPr>
      </w:pPr>
    </w:p>
    <w:p w14:paraId="0A08E324" w14:textId="77777777" w:rsidR="0072513C" w:rsidRPr="00A64DF0" w:rsidRDefault="0072513C" w:rsidP="0072513C">
      <w:pPr>
        <w:rPr>
          <w:rFonts w:cs="Arial"/>
          <w:color w:val="000000"/>
        </w:rPr>
      </w:pPr>
    </w:p>
    <w:p w14:paraId="11FE9780" w14:textId="77777777" w:rsidR="0072513C" w:rsidRPr="00A64DF0" w:rsidRDefault="0072513C" w:rsidP="0072513C">
      <w:pPr>
        <w:rPr>
          <w:rFonts w:cs="Arial"/>
          <w:color w:val="000000"/>
        </w:rPr>
      </w:pPr>
    </w:p>
    <w:p w14:paraId="6F06BE8C" w14:textId="77777777" w:rsidR="0072513C" w:rsidRPr="00A64DF0" w:rsidRDefault="0072513C" w:rsidP="0072513C">
      <w:pPr>
        <w:rPr>
          <w:rFonts w:cs="Arial"/>
          <w:color w:val="000000"/>
        </w:rPr>
      </w:pPr>
    </w:p>
    <w:p w14:paraId="70C8F1C6" w14:textId="77777777" w:rsidR="0072513C" w:rsidRPr="00A64DF0" w:rsidRDefault="0072513C" w:rsidP="0072513C">
      <w:pPr>
        <w:rPr>
          <w:rFonts w:cs="Arial"/>
        </w:rPr>
      </w:pPr>
    </w:p>
    <w:p w14:paraId="67F02EF1" w14:textId="77777777" w:rsidR="0072513C" w:rsidRPr="00A64DF0" w:rsidRDefault="0072513C" w:rsidP="0072513C">
      <w:pPr>
        <w:rPr>
          <w:rFonts w:cs="Arial"/>
        </w:rPr>
      </w:pPr>
    </w:p>
    <w:p w14:paraId="0445B0B1" w14:textId="77777777" w:rsidR="0072513C" w:rsidRPr="00A64DF0" w:rsidRDefault="0072513C" w:rsidP="0072513C">
      <w:pPr>
        <w:rPr>
          <w:rFonts w:cs="Arial"/>
        </w:rPr>
      </w:pPr>
    </w:p>
    <w:p w14:paraId="00982150" w14:textId="77777777" w:rsidR="0072513C" w:rsidRPr="00A64DF0" w:rsidRDefault="0072513C" w:rsidP="0072513C">
      <w:pPr>
        <w:rPr>
          <w:rFonts w:cs="Arial"/>
        </w:rPr>
      </w:pPr>
    </w:p>
    <w:p w14:paraId="6742B794" w14:textId="77777777" w:rsidR="0072513C" w:rsidRPr="00A64DF0" w:rsidRDefault="0072513C" w:rsidP="0072513C">
      <w:pPr>
        <w:rPr>
          <w:rFonts w:cs="Arial"/>
        </w:rPr>
      </w:pPr>
    </w:p>
    <w:p w14:paraId="0589877B" w14:textId="77777777" w:rsidR="0072513C" w:rsidRPr="00A64DF0" w:rsidRDefault="0072513C" w:rsidP="0072513C">
      <w:pPr>
        <w:rPr>
          <w:rFonts w:cs="Arial"/>
        </w:rPr>
      </w:pPr>
    </w:p>
    <w:p w14:paraId="081F290B" w14:textId="77777777" w:rsidR="0072513C" w:rsidRPr="00A64DF0" w:rsidRDefault="0072513C" w:rsidP="0072513C">
      <w:pPr>
        <w:jc w:val="center"/>
        <w:rPr>
          <w:rFonts w:cs="Arial"/>
          <w:b/>
          <w:sz w:val="72"/>
          <w:szCs w:val="72"/>
        </w:rPr>
      </w:pPr>
    </w:p>
    <w:p w14:paraId="2E7636AE" w14:textId="77777777" w:rsidR="0072513C" w:rsidRPr="00A20913" w:rsidRDefault="0072513C" w:rsidP="0072513C">
      <w:pPr>
        <w:jc w:val="center"/>
        <w:rPr>
          <w:rFonts w:cs="Arial"/>
          <w:b/>
          <w:sz w:val="48"/>
          <w:szCs w:val="48"/>
        </w:rPr>
      </w:pPr>
      <w:r w:rsidRPr="00A20913">
        <w:rPr>
          <w:rFonts w:cs="Arial"/>
          <w:b/>
          <w:sz w:val="48"/>
          <w:szCs w:val="48"/>
        </w:rPr>
        <w:t xml:space="preserve">DUTY OF CANDOUR </w:t>
      </w:r>
    </w:p>
    <w:p w14:paraId="081C8715" w14:textId="77777777" w:rsidR="0072513C" w:rsidRPr="00A20913" w:rsidRDefault="0072513C" w:rsidP="0072513C">
      <w:pPr>
        <w:jc w:val="center"/>
        <w:rPr>
          <w:rFonts w:cs="Arial"/>
          <w:b/>
          <w:sz w:val="48"/>
          <w:szCs w:val="48"/>
        </w:rPr>
      </w:pPr>
      <w:r w:rsidRPr="00A20913">
        <w:rPr>
          <w:rFonts w:cs="Arial"/>
          <w:b/>
          <w:sz w:val="48"/>
          <w:szCs w:val="48"/>
        </w:rPr>
        <w:t xml:space="preserve">ANNUAL REPORT </w:t>
      </w:r>
    </w:p>
    <w:p w14:paraId="4976EA40" w14:textId="77777777" w:rsidR="0072513C" w:rsidRPr="00A20913" w:rsidRDefault="0072513C" w:rsidP="0072513C">
      <w:pPr>
        <w:jc w:val="center"/>
        <w:rPr>
          <w:rFonts w:cs="Arial"/>
          <w:b/>
          <w:sz w:val="48"/>
          <w:szCs w:val="48"/>
        </w:rPr>
      </w:pPr>
      <w:r w:rsidRPr="00A20913">
        <w:rPr>
          <w:rFonts w:cs="Arial"/>
          <w:b/>
          <w:sz w:val="48"/>
          <w:szCs w:val="48"/>
        </w:rPr>
        <w:t>2024-2025</w:t>
      </w:r>
    </w:p>
    <w:p w14:paraId="720566DF" w14:textId="77777777" w:rsidR="0072513C" w:rsidRPr="004C7189" w:rsidRDefault="0072513C" w:rsidP="0072513C">
      <w:pPr>
        <w:jc w:val="center"/>
        <w:rPr>
          <w:rFonts w:cs="Arial"/>
          <w:b/>
          <w:color w:val="00B0F0"/>
          <w:sz w:val="36"/>
        </w:rPr>
      </w:pPr>
    </w:p>
    <w:p w14:paraId="5448801B" w14:textId="77777777" w:rsidR="0072513C" w:rsidRPr="004C7189" w:rsidRDefault="0072513C" w:rsidP="0072513C">
      <w:pPr>
        <w:rPr>
          <w:rFonts w:cs="Arial"/>
          <w:color w:val="00B0F0"/>
        </w:rPr>
      </w:pPr>
    </w:p>
    <w:p w14:paraId="7C6778D3" w14:textId="77777777" w:rsidR="0072513C" w:rsidRPr="004C7189" w:rsidRDefault="0072513C" w:rsidP="0072513C">
      <w:pPr>
        <w:rPr>
          <w:rFonts w:cs="Arial"/>
          <w:color w:val="00B0F0"/>
        </w:rPr>
      </w:pPr>
    </w:p>
    <w:p w14:paraId="289341DF" w14:textId="77777777" w:rsidR="0072513C" w:rsidRPr="004C7189" w:rsidRDefault="0072513C" w:rsidP="0072513C">
      <w:pPr>
        <w:rPr>
          <w:rFonts w:cs="Arial"/>
          <w:color w:val="00B0F0"/>
        </w:rPr>
      </w:pPr>
    </w:p>
    <w:p w14:paraId="3452CE5F" w14:textId="77777777" w:rsidR="0072513C" w:rsidRPr="004C7189" w:rsidRDefault="0072513C" w:rsidP="0072513C">
      <w:pPr>
        <w:rPr>
          <w:rFonts w:cs="Arial"/>
          <w:color w:val="00B0F0"/>
        </w:rPr>
      </w:pPr>
    </w:p>
    <w:p w14:paraId="67C3DB7D" w14:textId="77777777" w:rsidR="0072513C" w:rsidRPr="004C7189" w:rsidRDefault="0072513C" w:rsidP="0072513C">
      <w:pPr>
        <w:rPr>
          <w:rFonts w:cs="Arial"/>
          <w:color w:val="00B0F0"/>
        </w:rPr>
      </w:pPr>
    </w:p>
    <w:p w14:paraId="5FC84777" w14:textId="77777777" w:rsidR="0072513C" w:rsidRPr="004C7189" w:rsidRDefault="0072513C" w:rsidP="0072513C">
      <w:pPr>
        <w:rPr>
          <w:rFonts w:cs="Arial"/>
          <w:color w:val="00B0F0"/>
        </w:rPr>
      </w:pPr>
    </w:p>
    <w:p w14:paraId="216A8024" w14:textId="77777777" w:rsidR="0072513C" w:rsidRPr="004C7189" w:rsidRDefault="0072513C" w:rsidP="0072513C">
      <w:pPr>
        <w:rPr>
          <w:rFonts w:cs="Arial"/>
          <w:color w:val="00B0F0"/>
        </w:rPr>
      </w:pPr>
    </w:p>
    <w:p w14:paraId="0DC2ABBD" w14:textId="77777777" w:rsidR="0072513C" w:rsidRDefault="0072513C" w:rsidP="0072513C">
      <w:pPr>
        <w:rPr>
          <w:rFonts w:cs="Arial"/>
          <w:color w:val="00B0F0"/>
        </w:rPr>
      </w:pPr>
    </w:p>
    <w:p w14:paraId="6856B647" w14:textId="77777777" w:rsidR="00F1308E" w:rsidRDefault="00F1308E" w:rsidP="0072513C">
      <w:pPr>
        <w:rPr>
          <w:rFonts w:cs="Arial"/>
          <w:color w:val="00B0F0"/>
        </w:rPr>
      </w:pPr>
    </w:p>
    <w:p w14:paraId="619BC31E" w14:textId="77777777" w:rsidR="00F1308E" w:rsidRDefault="00F1308E" w:rsidP="0072513C">
      <w:pPr>
        <w:rPr>
          <w:rFonts w:cs="Arial"/>
          <w:color w:val="00B0F0"/>
        </w:rPr>
      </w:pPr>
    </w:p>
    <w:p w14:paraId="2F99435F" w14:textId="77777777" w:rsidR="00F1308E" w:rsidRDefault="00F1308E" w:rsidP="0072513C">
      <w:pPr>
        <w:rPr>
          <w:rFonts w:cs="Arial"/>
          <w:color w:val="00B0F0"/>
        </w:rPr>
      </w:pPr>
    </w:p>
    <w:p w14:paraId="25BA5573" w14:textId="77777777" w:rsidR="00F1308E" w:rsidRDefault="00F1308E" w:rsidP="0072513C">
      <w:pPr>
        <w:rPr>
          <w:rFonts w:cs="Arial"/>
          <w:color w:val="00B0F0"/>
        </w:rPr>
      </w:pPr>
    </w:p>
    <w:p w14:paraId="786CF09E" w14:textId="77777777" w:rsidR="00F1308E" w:rsidRDefault="00F1308E" w:rsidP="0072513C">
      <w:pPr>
        <w:rPr>
          <w:rFonts w:cs="Arial"/>
          <w:color w:val="00B0F0"/>
        </w:rPr>
      </w:pPr>
    </w:p>
    <w:p w14:paraId="0657E76C" w14:textId="77777777" w:rsidR="00F1308E" w:rsidRDefault="00F1308E" w:rsidP="0072513C">
      <w:pPr>
        <w:rPr>
          <w:rFonts w:cs="Arial"/>
          <w:color w:val="00B0F0"/>
        </w:rPr>
      </w:pPr>
    </w:p>
    <w:p w14:paraId="7555BDD3" w14:textId="77777777" w:rsidR="00F1308E" w:rsidRDefault="00F1308E" w:rsidP="0072513C">
      <w:pPr>
        <w:rPr>
          <w:rFonts w:cs="Arial"/>
          <w:color w:val="00B0F0"/>
        </w:rPr>
      </w:pPr>
    </w:p>
    <w:p w14:paraId="75602C34" w14:textId="77777777" w:rsidR="00F1308E" w:rsidRDefault="00F1308E" w:rsidP="0072513C">
      <w:pPr>
        <w:rPr>
          <w:rFonts w:cs="Arial"/>
          <w:color w:val="00B0F0"/>
        </w:rPr>
      </w:pPr>
    </w:p>
    <w:p w14:paraId="058CBE1B" w14:textId="77777777" w:rsidR="00F1308E" w:rsidRPr="004C7189" w:rsidRDefault="00F1308E" w:rsidP="0072513C">
      <w:pPr>
        <w:rPr>
          <w:rFonts w:cs="Arial"/>
          <w:color w:val="00B0F0"/>
        </w:rPr>
      </w:pPr>
      <w:bookmarkStart w:id="0" w:name="_GoBack"/>
      <w:bookmarkEnd w:id="0"/>
    </w:p>
    <w:p w14:paraId="00433028" w14:textId="77777777" w:rsidR="0072513C" w:rsidRPr="004C7189" w:rsidRDefault="0072513C" w:rsidP="0072513C">
      <w:pPr>
        <w:rPr>
          <w:rFonts w:cs="Arial"/>
          <w:color w:val="00B0F0"/>
        </w:rPr>
      </w:pPr>
    </w:p>
    <w:p w14:paraId="2C9B0E61" w14:textId="77777777" w:rsidR="0072513C" w:rsidRPr="004C7189" w:rsidRDefault="0072513C" w:rsidP="0072513C">
      <w:pPr>
        <w:rPr>
          <w:rFonts w:cs="Arial"/>
          <w:color w:val="00B0F0"/>
        </w:rPr>
      </w:pPr>
    </w:p>
    <w:p w14:paraId="53835A48" w14:textId="77777777" w:rsidR="0072513C" w:rsidRPr="004C7189" w:rsidRDefault="0072513C" w:rsidP="0072513C">
      <w:pPr>
        <w:rPr>
          <w:rFonts w:cs="Arial"/>
          <w:color w:val="00B0F0"/>
        </w:rPr>
      </w:pPr>
    </w:p>
    <w:p w14:paraId="712B6979" w14:textId="77777777" w:rsidR="0072513C" w:rsidRPr="004C7189" w:rsidRDefault="0072513C" w:rsidP="0072513C">
      <w:pPr>
        <w:rPr>
          <w:rFonts w:cs="Arial"/>
          <w:color w:val="00B0F0"/>
        </w:rPr>
      </w:pPr>
    </w:p>
    <w:p w14:paraId="297A47B0" w14:textId="77777777" w:rsidR="0072513C" w:rsidRPr="004C7189" w:rsidRDefault="0072513C" w:rsidP="0072513C">
      <w:pPr>
        <w:rPr>
          <w:rFonts w:cs="Arial"/>
          <w:color w:val="00B0F0"/>
        </w:rPr>
      </w:pPr>
    </w:p>
    <w:p w14:paraId="531CE0CF" w14:textId="77777777" w:rsidR="0072513C" w:rsidRPr="004C7189" w:rsidRDefault="0072513C" w:rsidP="0072513C">
      <w:pPr>
        <w:rPr>
          <w:rFonts w:cs="Arial"/>
          <w:color w:val="00B0F0"/>
        </w:rPr>
      </w:pPr>
    </w:p>
    <w:p w14:paraId="15F44283" w14:textId="77777777" w:rsidR="0072513C" w:rsidRDefault="0072513C" w:rsidP="0072513C">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b/>
          <w:szCs w:val="24"/>
        </w:rPr>
      </w:pPr>
      <w:r>
        <w:rPr>
          <w:rFonts w:cs="Arial"/>
          <w:b/>
          <w:szCs w:val="24"/>
        </w:rPr>
        <w:lastRenderedPageBreak/>
        <w:t xml:space="preserve">Table of contents </w:t>
      </w:r>
    </w:p>
    <w:p w14:paraId="56A860D3" w14:textId="77777777" w:rsidR="0072513C" w:rsidRDefault="0072513C" w:rsidP="0072513C">
      <w:pPr>
        <w:rPr>
          <w:rFonts w:cs="Arial"/>
          <w:b/>
          <w:szCs w:val="24"/>
        </w:rPr>
      </w:pPr>
    </w:p>
    <w:p w14:paraId="0C393650" w14:textId="77777777" w:rsidR="0072513C" w:rsidRDefault="0072513C" w:rsidP="0072513C">
      <w:pPr>
        <w:rPr>
          <w:rFonts w:cs="Arial"/>
          <w:b/>
          <w:szCs w:val="24"/>
        </w:rPr>
      </w:pPr>
    </w:p>
    <w:p w14:paraId="09E54EFE" w14:textId="77777777" w:rsidR="0072513C" w:rsidRPr="00DB0A21" w:rsidRDefault="0072513C" w:rsidP="0072513C">
      <w:pPr>
        <w:pStyle w:val="ListParagraph"/>
        <w:numPr>
          <w:ilvl w:val="0"/>
          <w:numId w:val="42"/>
        </w:numPr>
        <w:ind w:left="360"/>
        <w:rPr>
          <w:rFonts w:cs="Arial"/>
          <w:szCs w:val="24"/>
        </w:rPr>
      </w:pPr>
      <w:r w:rsidRPr="00DB0A21">
        <w:rPr>
          <w:rFonts w:cs="Arial"/>
          <w:szCs w:val="24"/>
        </w:rPr>
        <w:t>Introduction</w:t>
      </w:r>
    </w:p>
    <w:p w14:paraId="3D141507" w14:textId="77777777" w:rsidR="0072513C" w:rsidRPr="00A20913" w:rsidRDefault="0072513C" w:rsidP="0072513C">
      <w:pPr>
        <w:pStyle w:val="ListParagraph"/>
        <w:ind w:left="360"/>
        <w:rPr>
          <w:rFonts w:cs="Arial"/>
          <w:szCs w:val="24"/>
        </w:rPr>
      </w:pPr>
    </w:p>
    <w:p w14:paraId="46779492" w14:textId="77777777" w:rsidR="0072513C" w:rsidRPr="00A20913" w:rsidRDefault="0072513C" w:rsidP="0072513C">
      <w:pPr>
        <w:pStyle w:val="ListParagraph"/>
        <w:numPr>
          <w:ilvl w:val="0"/>
          <w:numId w:val="42"/>
        </w:numPr>
        <w:ind w:left="360"/>
        <w:rPr>
          <w:rFonts w:cs="Arial"/>
          <w:szCs w:val="24"/>
        </w:rPr>
      </w:pPr>
      <w:r w:rsidRPr="00A20913">
        <w:rPr>
          <w:rFonts w:cs="Arial"/>
          <w:szCs w:val="24"/>
        </w:rPr>
        <w:t>Information about our policies and procedures</w:t>
      </w:r>
    </w:p>
    <w:p w14:paraId="748B7582" w14:textId="77777777" w:rsidR="0072513C" w:rsidRPr="00A20913" w:rsidRDefault="0072513C" w:rsidP="0072513C">
      <w:pPr>
        <w:ind w:left="-360"/>
        <w:rPr>
          <w:rFonts w:cs="Arial"/>
          <w:szCs w:val="24"/>
        </w:rPr>
      </w:pPr>
    </w:p>
    <w:p w14:paraId="2527FF94" w14:textId="77777777" w:rsidR="0072513C" w:rsidRPr="00A20913" w:rsidRDefault="0072513C" w:rsidP="0072513C">
      <w:pPr>
        <w:pStyle w:val="ListParagraph"/>
        <w:numPr>
          <w:ilvl w:val="0"/>
          <w:numId w:val="42"/>
        </w:numPr>
        <w:ind w:left="360"/>
        <w:rPr>
          <w:rFonts w:cs="Arial"/>
          <w:szCs w:val="24"/>
        </w:rPr>
      </w:pPr>
      <w:r w:rsidRPr="00A20913">
        <w:rPr>
          <w:rFonts w:cs="Arial"/>
          <w:szCs w:val="24"/>
        </w:rPr>
        <w:t>Support for our patients / families</w:t>
      </w:r>
    </w:p>
    <w:p w14:paraId="0A849448" w14:textId="77777777" w:rsidR="0072513C" w:rsidRPr="00A20913" w:rsidRDefault="0072513C" w:rsidP="0072513C">
      <w:pPr>
        <w:ind w:left="-360"/>
        <w:rPr>
          <w:rFonts w:cs="Arial"/>
          <w:szCs w:val="24"/>
        </w:rPr>
      </w:pPr>
    </w:p>
    <w:p w14:paraId="1B393486" w14:textId="77777777" w:rsidR="0072513C" w:rsidRPr="00A20913" w:rsidRDefault="0072513C" w:rsidP="0072513C">
      <w:pPr>
        <w:pStyle w:val="ListParagraph"/>
        <w:numPr>
          <w:ilvl w:val="0"/>
          <w:numId w:val="42"/>
        </w:numPr>
        <w:ind w:left="360"/>
        <w:rPr>
          <w:rFonts w:cs="Arial"/>
          <w:szCs w:val="24"/>
        </w:rPr>
      </w:pPr>
      <w:r w:rsidRPr="00A20913">
        <w:rPr>
          <w:rFonts w:cs="Arial"/>
          <w:szCs w:val="24"/>
        </w:rPr>
        <w:t>Support and training for our staff</w:t>
      </w:r>
    </w:p>
    <w:p w14:paraId="7CA0AC27" w14:textId="77777777" w:rsidR="0072513C" w:rsidRPr="00A20913" w:rsidRDefault="0072513C" w:rsidP="0072513C">
      <w:pPr>
        <w:ind w:left="-360"/>
        <w:rPr>
          <w:rFonts w:cs="Arial"/>
          <w:szCs w:val="24"/>
        </w:rPr>
      </w:pPr>
    </w:p>
    <w:p w14:paraId="3AF94C34" w14:textId="77777777" w:rsidR="0072513C" w:rsidRPr="00A20913" w:rsidRDefault="0072513C" w:rsidP="0072513C">
      <w:pPr>
        <w:pStyle w:val="ListParagraph"/>
        <w:numPr>
          <w:ilvl w:val="0"/>
          <w:numId w:val="42"/>
        </w:numPr>
        <w:ind w:left="360"/>
        <w:rPr>
          <w:rFonts w:cs="Arial"/>
          <w:szCs w:val="24"/>
        </w:rPr>
      </w:pPr>
      <w:r>
        <w:rPr>
          <w:rFonts w:cs="Arial"/>
          <w:szCs w:val="24"/>
        </w:rPr>
        <w:t xml:space="preserve">Number and nature of Duty of Candour adverse events </w:t>
      </w:r>
    </w:p>
    <w:p w14:paraId="08ED406F" w14:textId="77777777" w:rsidR="0072513C" w:rsidRPr="00A20913" w:rsidRDefault="0072513C" w:rsidP="0072513C">
      <w:pPr>
        <w:ind w:left="-360"/>
        <w:rPr>
          <w:rFonts w:cs="Arial"/>
          <w:szCs w:val="24"/>
        </w:rPr>
      </w:pPr>
    </w:p>
    <w:p w14:paraId="10CD9820" w14:textId="77777777" w:rsidR="0072513C" w:rsidRPr="00A20913" w:rsidRDefault="0072513C" w:rsidP="0072513C">
      <w:pPr>
        <w:pStyle w:val="ListParagraph"/>
        <w:numPr>
          <w:ilvl w:val="0"/>
          <w:numId w:val="42"/>
        </w:numPr>
        <w:ind w:left="360"/>
        <w:rPr>
          <w:rFonts w:cs="Arial"/>
          <w:szCs w:val="24"/>
        </w:rPr>
      </w:pPr>
      <w:r>
        <w:rPr>
          <w:rFonts w:cs="Arial"/>
          <w:szCs w:val="24"/>
        </w:rPr>
        <w:t>To what extent did NHS Ayrshire and Arran follow the Duty of Candour procedure?</w:t>
      </w:r>
    </w:p>
    <w:p w14:paraId="3A51C723" w14:textId="77777777" w:rsidR="0072513C" w:rsidRPr="00A20913" w:rsidRDefault="0072513C" w:rsidP="0072513C">
      <w:pPr>
        <w:ind w:left="-360"/>
        <w:rPr>
          <w:rFonts w:cs="Arial"/>
          <w:szCs w:val="24"/>
        </w:rPr>
      </w:pPr>
    </w:p>
    <w:p w14:paraId="6E515670" w14:textId="77777777" w:rsidR="0072513C" w:rsidRPr="00A20913" w:rsidRDefault="0072513C" w:rsidP="0072513C">
      <w:pPr>
        <w:pStyle w:val="ListParagraph"/>
        <w:numPr>
          <w:ilvl w:val="0"/>
          <w:numId w:val="42"/>
        </w:numPr>
        <w:ind w:left="360"/>
        <w:rPr>
          <w:rFonts w:cs="Arial"/>
          <w:szCs w:val="24"/>
        </w:rPr>
      </w:pPr>
      <w:r w:rsidRPr="00A20913">
        <w:rPr>
          <w:rFonts w:cs="Arial"/>
          <w:szCs w:val="24"/>
        </w:rPr>
        <w:t>What has improved as a result?</w:t>
      </w:r>
    </w:p>
    <w:p w14:paraId="416E06E4" w14:textId="77777777" w:rsidR="0072513C" w:rsidRPr="00A20913" w:rsidRDefault="0072513C" w:rsidP="0072513C">
      <w:pPr>
        <w:ind w:left="-360"/>
        <w:rPr>
          <w:rFonts w:cs="Arial"/>
          <w:szCs w:val="24"/>
        </w:rPr>
      </w:pPr>
    </w:p>
    <w:p w14:paraId="350B2A93" w14:textId="77777777" w:rsidR="0072513C" w:rsidRPr="00A20913" w:rsidRDefault="0072513C" w:rsidP="0072513C">
      <w:pPr>
        <w:pStyle w:val="ListParagraph"/>
        <w:numPr>
          <w:ilvl w:val="0"/>
          <w:numId w:val="42"/>
        </w:numPr>
        <w:ind w:left="360"/>
        <w:rPr>
          <w:rFonts w:cs="Arial"/>
          <w:szCs w:val="24"/>
        </w:rPr>
      </w:pPr>
      <w:r w:rsidRPr="00A20913">
        <w:rPr>
          <w:rFonts w:cs="Arial"/>
          <w:szCs w:val="24"/>
        </w:rPr>
        <w:t>Additional information</w:t>
      </w:r>
    </w:p>
    <w:p w14:paraId="086D29C4" w14:textId="77777777" w:rsidR="0072513C" w:rsidRPr="00A20913" w:rsidRDefault="0072513C" w:rsidP="0072513C">
      <w:pPr>
        <w:pStyle w:val="ListParagraph"/>
        <w:rPr>
          <w:rFonts w:cs="Arial"/>
          <w:szCs w:val="24"/>
        </w:rPr>
      </w:pPr>
    </w:p>
    <w:p w14:paraId="5EE7E7F1" w14:textId="77777777" w:rsidR="0072513C" w:rsidRDefault="0072513C" w:rsidP="0072513C">
      <w:pPr>
        <w:rPr>
          <w:rFonts w:cs="Arial"/>
          <w:b/>
          <w:szCs w:val="24"/>
        </w:rPr>
      </w:pPr>
    </w:p>
    <w:p w14:paraId="01B9FB0C" w14:textId="77777777" w:rsidR="0072513C" w:rsidRDefault="0072513C" w:rsidP="0072513C">
      <w:pPr>
        <w:rPr>
          <w:rFonts w:cs="Arial"/>
          <w:b/>
          <w:szCs w:val="24"/>
        </w:rPr>
      </w:pPr>
    </w:p>
    <w:p w14:paraId="56E09D73" w14:textId="77777777" w:rsidR="0072513C" w:rsidRDefault="0072513C" w:rsidP="0072513C">
      <w:pPr>
        <w:rPr>
          <w:rFonts w:cs="Arial"/>
          <w:b/>
          <w:szCs w:val="24"/>
        </w:rPr>
      </w:pPr>
    </w:p>
    <w:p w14:paraId="0205376D" w14:textId="77777777" w:rsidR="0072513C" w:rsidRDefault="0072513C" w:rsidP="0072513C">
      <w:pPr>
        <w:rPr>
          <w:rFonts w:cs="Arial"/>
          <w:b/>
          <w:szCs w:val="24"/>
        </w:rPr>
      </w:pPr>
    </w:p>
    <w:p w14:paraId="1D2BF145" w14:textId="77777777" w:rsidR="0072513C" w:rsidRDefault="0072513C" w:rsidP="0072513C">
      <w:pPr>
        <w:rPr>
          <w:rFonts w:cs="Arial"/>
          <w:b/>
          <w:szCs w:val="24"/>
        </w:rPr>
      </w:pPr>
    </w:p>
    <w:p w14:paraId="39D39F0A" w14:textId="77777777" w:rsidR="0072513C" w:rsidRDefault="0072513C" w:rsidP="0072513C">
      <w:pPr>
        <w:rPr>
          <w:rFonts w:cs="Arial"/>
          <w:b/>
          <w:szCs w:val="24"/>
        </w:rPr>
      </w:pPr>
    </w:p>
    <w:p w14:paraId="06890B3E" w14:textId="77777777" w:rsidR="0072513C" w:rsidRDefault="0072513C" w:rsidP="0072513C">
      <w:pPr>
        <w:rPr>
          <w:rFonts w:cs="Arial"/>
          <w:b/>
          <w:szCs w:val="24"/>
        </w:rPr>
      </w:pPr>
    </w:p>
    <w:p w14:paraId="5280FD5F" w14:textId="77777777" w:rsidR="0072513C" w:rsidRDefault="0072513C" w:rsidP="0072513C">
      <w:pPr>
        <w:rPr>
          <w:rFonts w:cs="Arial"/>
          <w:b/>
          <w:szCs w:val="24"/>
        </w:rPr>
      </w:pPr>
    </w:p>
    <w:p w14:paraId="39851A07" w14:textId="77777777" w:rsidR="0072513C" w:rsidRDefault="0072513C" w:rsidP="0072513C">
      <w:pPr>
        <w:rPr>
          <w:rFonts w:cs="Arial"/>
          <w:b/>
          <w:szCs w:val="24"/>
        </w:rPr>
      </w:pPr>
    </w:p>
    <w:p w14:paraId="42444354" w14:textId="77777777" w:rsidR="0072513C" w:rsidRDefault="0072513C" w:rsidP="0072513C">
      <w:pPr>
        <w:rPr>
          <w:rFonts w:cs="Arial"/>
          <w:b/>
          <w:szCs w:val="24"/>
        </w:rPr>
      </w:pPr>
    </w:p>
    <w:p w14:paraId="4FD7BD9D" w14:textId="77777777" w:rsidR="0072513C" w:rsidRDefault="0072513C" w:rsidP="0072513C">
      <w:pPr>
        <w:rPr>
          <w:rFonts w:cs="Arial"/>
          <w:b/>
          <w:szCs w:val="24"/>
        </w:rPr>
      </w:pPr>
    </w:p>
    <w:p w14:paraId="2292108B" w14:textId="77777777" w:rsidR="0072513C" w:rsidRDefault="0072513C" w:rsidP="0072513C">
      <w:pPr>
        <w:rPr>
          <w:rFonts w:cs="Arial"/>
          <w:b/>
          <w:szCs w:val="24"/>
        </w:rPr>
      </w:pPr>
    </w:p>
    <w:p w14:paraId="58917C89" w14:textId="77777777" w:rsidR="0072513C" w:rsidRDefault="0072513C" w:rsidP="0072513C">
      <w:pPr>
        <w:rPr>
          <w:rFonts w:cs="Arial"/>
          <w:b/>
          <w:szCs w:val="24"/>
        </w:rPr>
      </w:pPr>
    </w:p>
    <w:p w14:paraId="60637E04" w14:textId="77777777" w:rsidR="0072513C" w:rsidRDefault="0072513C" w:rsidP="0072513C">
      <w:pPr>
        <w:rPr>
          <w:rFonts w:cs="Arial"/>
          <w:b/>
          <w:szCs w:val="24"/>
        </w:rPr>
      </w:pPr>
    </w:p>
    <w:p w14:paraId="63E64F05" w14:textId="77777777" w:rsidR="0072513C" w:rsidRDefault="0072513C" w:rsidP="0072513C">
      <w:pPr>
        <w:rPr>
          <w:rFonts w:cs="Arial"/>
          <w:b/>
          <w:szCs w:val="24"/>
        </w:rPr>
      </w:pPr>
    </w:p>
    <w:p w14:paraId="15725E6B" w14:textId="77777777" w:rsidR="0072513C" w:rsidRDefault="0072513C" w:rsidP="0072513C">
      <w:pPr>
        <w:rPr>
          <w:rFonts w:cs="Arial"/>
          <w:b/>
          <w:szCs w:val="24"/>
        </w:rPr>
      </w:pPr>
    </w:p>
    <w:p w14:paraId="5F9CDC0D" w14:textId="77777777" w:rsidR="0072513C" w:rsidRDefault="0072513C" w:rsidP="0072513C">
      <w:pPr>
        <w:rPr>
          <w:rFonts w:cs="Arial"/>
          <w:b/>
          <w:szCs w:val="24"/>
        </w:rPr>
      </w:pPr>
    </w:p>
    <w:p w14:paraId="1FB2CCDF" w14:textId="77777777" w:rsidR="0072513C" w:rsidRDefault="0072513C" w:rsidP="0072513C">
      <w:pPr>
        <w:rPr>
          <w:rFonts w:cs="Arial"/>
          <w:b/>
          <w:szCs w:val="24"/>
        </w:rPr>
      </w:pPr>
    </w:p>
    <w:p w14:paraId="296A3AF0" w14:textId="77777777" w:rsidR="0072513C" w:rsidRDefault="0072513C" w:rsidP="0072513C">
      <w:pPr>
        <w:rPr>
          <w:rFonts w:cs="Arial"/>
          <w:b/>
          <w:szCs w:val="24"/>
        </w:rPr>
      </w:pPr>
    </w:p>
    <w:p w14:paraId="6B63DE4E" w14:textId="77777777" w:rsidR="0072513C" w:rsidRDefault="0072513C" w:rsidP="0072513C">
      <w:pPr>
        <w:rPr>
          <w:rFonts w:cs="Arial"/>
          <w:b/>
          <w:szCs w:val="24"/>
        </w:rPr>
      </w:pPr>
    </w:p>
    <w:p w14:paraId="71543D5C" w14:textId="77777777" w:rsidR="0072513C" w:rsidRDefault="0072513C" w:rsidP="0072513C">
      <w:pPr>
        <w:rPr>
          <w:rFonts w:cs="Arial"/>
          <w:b/>
          <w:szCs w:val="24"/>
        </w:rPr>
      </w:pPr>
    </w:p>
    <w:p w14:paraId="47C2E955" w14:textId="77777777" w:rsidR="0072513C" w:rsidRDefault="0072513C" w:rsidP="0072513C">
      <w:pPr>
        <w:rPr>
          <w:rFonts w:cs="Arial"/>
          <w:b/>
          <w:szCs w:val="24"/>
        </w:rPr>
      </w:pPr>
    </w:p>
    <w:p w14:paraId="1B7E45E9" w14:textId="77777777" w:rsidR="0072513C" w:rsidRDefault="0072513C" w:rsidP="0072513C">
      <w:pPr>
        <w:rPr>
          <w:rFonts w:cs="Arial"/>
          <w:b/>
          <w:szCs w:val="24"/>
        </w:rPr>
      </w:pPr>
    </w:p>
    <w:p w14:paraId="564CC1ED" w14:textId="77777777" w:rsidR="0072513C" w:rsidRDefault="0072513C" w:rsidP="0072513C">
      <w:pPr>
        <w:rPr>
          <w:rFonts w:cs="Arial"/>
          <w:b/>
          <w:szCs w:val="24"/>
        </w:rPr>
      </w:pPr>
    </w:p>
    <w:p w14:paraId="59B88979" w14:textId="77777777" w:rsidR="0072513C" w:rsidRDefault="0072513C" w:rsidP="0072513C">
      <w:pPr>
        <w:rPr>
          <w:rFonts w:cs="Arial"/>
          <w:b/>
          <w:szCs w:val="24"/>
        </w:rPr>
      </w:pPr>
    </w:p>
    <w:p w14:paraId="177EC1C6" w14:textId="77777777" w:rsidR="0072513C" w:rsidRDefault="0072513C" w:rsidP="0072513C">
      <w:pPr>
        <w:rPr>
          <w:rFonts w:cs="Arial"/>
          <w:b/>
          <w:szCs w:val="24"/>
        </w:rPr>
      </w:pPr>
    </w:p>
    <w:p w14:paraId="74DC8219" w14:textId="77777777" w:rsidR="0072513C" w:rsidRDefault="0072513C" w:rsidP="0072513C">
      <w:pPr>
        <w:rPr>
          <w:rFonts w:cs="Arial"/>
          <w:b/>
          <w:szCs w:val="24"/>
        </w:rPr>
      </w:pPr>
    </w:p>
    <w:p w14:paraId="4A77E9A0" w14:textId="77777777" w:rsidR="0072513C" w:rsidRDefault="0072513C" w:rsidP="0072513C">
      <w:pPr>
        <w:rPr>
          <w:rFonts w:cs="Arial"/>
          <w:b/>
          <w:szCs w:val="24"/>
        </w:rPr>
      </w:pPr>
    </w:p>
    <w:p w14:paraId="754A725E" w14:textId="77777777" w:rsidR="0072513C" w:rsidRDefault="0072513C" w:rsidP="0072513C">
      <w:pPr>
        <w:rPr>
          <w:rFonts w:cs="Arial"/>
          <w:b/>
          <w:szCs w:val="24"/>
        </w:rPr>
      </w:pPr>
    </w:p>
    <w:p w14:paraId="441278C8" w14:textId="77777777" w:rsidR="0072513C" w:rsidRDefault="0072513C" w:rsidP="0072513C">
      <w:pPr>
        <w:rPr>
          <w:rFonts w:cs="Arial"/>
          <w:b/>
          <w:szCs w:val="24"/>
        </w:rPr>
      </w:pPr>
    </w:p>
    <w:p w14:paraId="13B07B95" w14:textId="77777777" w:rsidR="0072513C" w:rsidRDefault="0072513C" w:rsidP="0072513C">
      <w:pPr>
        <w:rPr>
          <w:rFonts w:cs="Arial"/>
          <w:b/>
          <w:szCs w:val="24"/>
        </w:rPr>
      </w:pPr>
    </w:p>
    <w:p w14:paraId="7481BE52" w14:textId="77777777" w:rsidR="0072513C" w:rsidRDefault="0072513C" w:rsidP="0072513C">
      <w:pPr>
        <w:rPr>
          <w:rFonts w:cs="Arial"/>
          <w:b/>
          <w:szCs w:val="24"/>
        </w:rPr>
      </w:pPr>
    </w:p>
    <w:p w14:paraId="306F3CA9" w14:textId="77777777" w:rsidR="0072513C" w:rsidRDefault="0072513C" w:rsidP="0072513C">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rPr>
          <w:rStyle w:val="Strong"/>
        </w:rPr>
      </w:pPr>
      <w:r>
        <w:rPr>
          <w:rStyle w:val="Strong"/>
        </w:rPr>
        <w:lastRenderedPageBreak/>
        <w:t>Introduction</w:t>
      </w:r>
    </w:p>
    <w:p w14:paraId="3676F663" w14:textId="77777777" w:rsidR="0072513C" w:rsidRPr="00A20913" w:rsidRDefault="0072513C" w:rsidP="0072513C">
      <w:pPr>
        <w:rPr>
          <w:rStyle w:val="Strong"/>
        </w:rPr>
      </w:pPr>
    </w:p>
    <w:p w14:paraId="0CD70963" w14:textId="7FC3314C" w:rsidR="0072513C" w:rsidRDefault="0072513C" w:rsidP="0072513C">
      <w:pPr>
        <w:pStyle w:val="ListParagraph"/>
        <w:ind w:left="0"/>
        <w:rPr>
          <w:rFonts w:cs="Arial"/>
        </w:rPr>
      </w:pPr>
      <w:r>
        <w:rPr>
          <w:rFonts w:cs="Arial"/>
          <w:szCs w:val="24"/>
        </w:rPr>
        <w:t>This annual report is in relation to the organisational Duty of Candour (D</w:t>
      </w:r>
      <w:r w:rsidR="001B3DAA">
        <w:rPr>
          <w:rFonts w:cs="Arial"/>
          <w:szCs w:val="24"/>
        </w:rPr>
        <w:t>o</w:t>
      </w:r>
      <w:r>
        <w:rPr>
          <w:rFonts w:cs="Arial"/>
          <w:szCs w:val="24"/>
        </w:rPr>
        <w:t>C) and is a separate duty from the professional, moral and ethical D</w:t>
      </w:r>
      <w:r w:rsidR="001B3DAA">
        <w:rPr>
          <w:rFonts w:cs="Arial"/>
          <w:szCs w:val="24"/>
        </w:rPr>
        <w:t>o</w:t>
      </w:r>
      <w:r>
        <w:rPr>
          <w:rFonts w:cs="Arial"/>
          <w:szCs w:val="24"/>
        </w:rPr>
        <w:t>C which exists for a range of regulated health and social care professionals.  The organisational D</w:t>
      </w:r>
      <w:r w:rsidR="001B3DAA">
        <w:rPr>
          <w:rFonts w:cs="Arial"/>
          <w:szCs w:val="24"/>
        </w:rPr>
        <w:t>o</w:t>
      </w:r>
      <w:r>
        <w:rPr>
          <w:rFonts w:cs="Arial"/>
          <w:szCs w:val="24"/>
        </w:rPr>
        <w:t>C provisions from the Health (Tobacco, Nicotine etc. and Care)(Scotland) Act 2016 and the D</w:t>
      </w:r>
      <w:r w:rsidR="001B3DAA">
        <w:rPr>
          <w:rFonts w:cs="Arial"/>
          <w:szCs w:val="24"/>
        </w:rPr>
        <w:t>o</w:t>
      </w:r>
      <w:r>
        <w:rPr>
          <w:rFonts w:cs="Arial"/>
          <w:szCs w:val="24"/>
        </w:rPr>
        <w:t xml:space="preserve">C Procedure (Scotland) Regulations 2018, sets out the obligations on the procedure for those providing </w:t>
      </w:r>
      <w:r w:rsidRPr="00514D68">
        <w:rPr>
          <w:rFonts w:cs="Arial"/>
        </w:rPr>
        <w:t>health and social care services in Scotland</w:t>
      </w:r>
      <w:r>
        <w:rPr>
          <w:rFonts w:cs="Arial"/>
        </w:rPr>
        <w:t xml:space="preserve">.  </w:t>
      </w:r>
    </w:p>
    <w:p w14:paraId="308FD124" w14:textId="77777777" w:rsidR="0072513C" w:rsidRDefault="0072513C" w:rsidP="0072513C">
      <w:pPr>
        <w:pStyle w:val="ListParagraph"/>
        <w:ind w:left="0"/>
        <w:rPr>
          <w:rFonts w:cs="Arial"/>
        </w:rPr>
      </w:pPr>
    </w:p>
    <w:p w14:paraId="18571212" w14:textId="24947E4B" w:rsidR="0072513C" w:rsidRPr="002265A4" w:rsidRDefault="0072513C" w:rsidP="0072513C">
      <w:pPr>
        <w:pStyle w:val="ListParagraph"/>
        <w:ind w:left="0"/>
        <w:rPr>
          <w:rFonts w:cs="Arial"/>
          <w:szCs w:val="24"/>
        </w:rPr>
      </w:pPr>
      <w:r w:rsidRPr="00514D68">
        <w:rPr>
          <w:rFonts w:cs="Arial"/>
        </w:rPr>
        <w:t>This is a legal requirement when unintended or unexpected events happen that result in</w:t>
      </w:r>
      <w:r>
        <w:rPr>
          <w:rFonts w:cs="Arial"/>
        </w:rPr>
        <w:t xml:space="preserve"> (or could result in) </w:t>
      </w:r>
      <w:r w:rsidRPr="00514D68">
        <w:rPr>
          <w:rFonts w:cs="Arial"/>
        </w:rPr>
        <w:t xml:space="preserve">death / harm or intervention is required to prevent death / harm and </w:t>
      </w:r>
      <w:r w:rsidRPr="00514D68">
        <w:rPr>
          <w:rFonts w:cs="Arial"/>
          <w:szCs w:val="24"/>
        </w:rPr>
        <w:t>does not relate directly to the natural course of someone’s illness or underlying conditi</w:t>
      </w:r>
      <w:r>
        <w:rPr>
          <w:rFonts w:cs="Arial"/>
          <w:szCs w:val="24"/>
        </w:rPr>
        <w:t>ons.  The</w:t>
      </w:r>
      <w:r w:rsidRPr="00514D68">
        <w:rPr>
          <w:rFonts w:cs="Arial"/>
        </w:rPr>
        <w:t xml:space="preserve"> people affected </w:t>
      </w:r>
      <w:r>
        <w:rPr>
          <w:rFonts w:cs="Arial"/>
        </w:rPr>
        <w:t xml:space="preserve">receive an apology, they </w:t>
      </w:r>
      <w:r w:rsidRPr="00514D68">
        <w:rPr>
          <w:rFonts w:cs="Arial"/>
        </w:rPr>
        <w:t>understand what has happened</w:t>
      </w:r>
      <w:r>
        <w:rPr>
          <w:rFonts w:cs="Arial"/>
        </w:rPr>
        <w:t xml:space="preserve"> and the organisation conducts learning focused reviews to identify areas for improvement.  This underpins the Scottish Government’s commitment to openness and learning which are vital to the provision of safe, effective and </w:t>
      </w:r>
      <w:r w:rsidR="001B3DAA">
        <w:rPr>
          <w:rFonts w:cs="Arial"/>
        </w:rPr>
        <w:t>person-centred</w:t>
      </w:r>
      <w:r>
        <w:rPr>
          <w:rFonts w:cs="Arial"/>
        </w:rPr>
        <w:t xml:space="preserve"> health care.  The D</w:t>
      </w:r>
      <w:r w:rsidR="001B3DAA">
        <w:rPr>
          <w:rFonts w:cs="Arial"/>
        </w:rPr>
        <w:t>o</w:t>
      </w:r>
      <w:r>
        <w:rPr>
          <w:rFonts w:cs="Arial"/>
        </w:rPr>
        <w:t>C legislation became active on 1</w:t>
      </w:r>
      <w:r>
        <w:rPr>
          <w:rFonts w:cs="Arial"/>
          <w:vertAlign w:val="superscript"/>
        </w:rPr>
        <w:t xml:space="preserve"> </w:t>
      </w:r>
      <w:r>
        <w:rPr>
          <w:rFonts w:cs="Arial"/>
        </w:rPr>
        <w:t xml:space="preserve">April 2018.  </w:t>
      </w:r>
    </w:p>
    <w:p w14:paraId="5F5CF4A9" w14:textId="77777777" w:rsidR="0072513C" w:rsidRPr="004C7189" w:rsidRDefault="0072513C" w:rsidP="0072513C">
      <w:pPr>
        <w:rPr>
          <w:rFonts w:cs="Arial"/>
          <w:color w:val="00B0F0"/>
        </w:rPr>
      </w:pPr>
    </w:p>
    <w:p w14:paraId="0C22D31C" w14:textId="4D78EA8A" w:rsidR="0072513C" w:rsidRDefault="0072513C" w:rsidP="0072513C">
      <w:pPr>
        <w:rPr>
          <w:rFonts w:cs="Arial"/>
        </w:rPr>
      </w:pPr>
      <w:r>
        <w:rPr>
          <w:rFonts w:cs="Arial"/>
        </w:rPr>
        <w:t>A requirement of this d</w:t>
      </w:r>
      <w:r w:rsidRPr="006959A9">
        <w:rPr>
          <w:rFonts w:cs="Arial"/>
        </w:rPr>
        <w:t>uty is the provision of an a</w:t>
      </w:r>
      <w:r>
        <w:rPr>
          <w:rFonts w:cs="Arial"/>
        </w:rPr>
        <w:t>nnual report detailing the number of events which have activated D</w:t>
      </w:r>
      <w:r w:rsidR="001B3DAA">
        <w:rPr>
          <w:rFonts w:cs="Arial"/>
        </w:rPr>
        <w:t>o</w:t>
      </w:r>
      <w:r>
        <w:rPr>
          <w:rFonts w:cs="Arial"/>
        </w:rPr>
        <w:t>C</w:t>
      </w:r>
      <w:r w:rsidRPr="006959A9">
        <w:rPr>
          <w:rFonts w:cs="Arial"/>
        </w:rPr>
        <w:t xml:space="preserve"> </w:t>
      </w:r>
      <w:r>
        <w:rPr>
          <w:rFonts w:cs="Arial"/>
        </w:rPr>
        <w:t>and how NHS Ayrshire &amp; Arran (NHSAA)</w:t>
      </w:r>
      <w:r w:rsidRPr="006959A9">
        <w:rPr>
          <w:rFonts w:cs="Arial"/>
        </w:rPr>
        <w:t xml:space="preserve"> has fulf</w:t>
      </w:r>
      <w:r>
        <w:rPr>
          <w:rFonts w:cs="Arial"/>
        </w:rPr>
        <w:t>illed its’ responsibilities for events reported from 1 April 2024 to</w:t>
      </w:r>
      <w:r w:rsidRPr="006959A9">
        <w:rPr>
          <w:rFonts w:cs="Arial"/>
        </w:rPr>
        <w:t xml:space="preserve"> 31 March 2025.  </w:t>
      </w:r>
    </w:p>
    <w:p w14:paraId="2F09993D" w14:textId="77777777" w:rsidR="0072513C" w:rsidRPr="004C7189" w:rsidRDefault="0072513C" w:rsidP="0072513C">
      <w:pPr>
        <w:jc w:val="center"/>
        <w:rPr>
          <w:rFonts w:cs="Arial"/>
          <w:b/>
          <w:color w:val="00B0F0"/>
        </w:rPr>
      </w:pPr>
    </w:p>
    <w:p w14:paraId="1E487841" w14:textId="2129EF77" w:rsidR="0072513C" w:rsidRDefault="0072513C" w:rsidP="0072513C">
      <w:pPr>
        <w:rPr>
          <w:rFonts w:cs="Arial"/>
          <w:szCs w:val="24"/>
        </w:rPr>
      </w:pPr>
      <w:r>
        <w:rPr>
          <w:rFonts w:cs="Arial"/>
        </w:rPr>
        <w:t xml:space="preserve">NHSAA </w:t>
      </w:r>
      <w:r w:rsidRPr="006959A9">
        <w:rPr>
          <w:rFonts w:cs="Arial"/>
        </w:rPr>
        <w:t>serves a population of around 376,000 people and employs in the region of 10,500 staff.  The Board provides a full range of primary and secondary clinical services covering the mainland of Ayrshire</w:t>
      </w:r>
      <w:r>
        <w:rPr>
          <w:rFonts w:cs="Arial"/>
        </w:rPr>
        <w:t xml:space="preserve">, </w:t>
      </w:r>
      <w:r w:rsidRPr="006959A9">
        <w:rPr>
          <w:rFonts w:cs="Arial"/>
        </w:rPr>
        <w:t>the islands of Arran and Cumbrae and three Local Authority areas of North, South and East Ayrshire.</w:t>
      </w:r>
      <w:r>
        <w:rPr>
          <w:rFonts w:cs="Arial"/>
        </w:rPr>
        <w:t xml:space="preserve">  </w:t>
      </w:r>
      <w:r w:rsidRPr="006959A9">
        <w:rPr>
          <w:rFonts w:cs="Arial"/>
        </w:rPr>
        <w:t>The Board currently operates over two Acute Hospital sites, Universi</w:t>
      </w:r>
      <w:r>
        <w:rPr>
          <w:rFonts w:cs="Arial"/>
        </w:rPr>
        <w:t>ty Hospital</w:t>
      </w:r>
      <w:r w:rsidR="001B3DAA">
        <w:rPr>
          <w:rFonts w:cs="Arial"/>
        </w:rPr>
        <w:t>s</w:t>
      </w:r>
      <w:r>
        <w:rPr>
          <w:rFonts w:cs="Arial"/>
        </w:rPr>
        <w:t xml:space="preserve"> Ayr and Crosshouse</w:t>
      </w:r>
      <w:r w:rsidRPr="006959A9">
        <w:rPr>
          <w:rFonts w:cs="Arial"/>
        </w:rPr>
        <w:t xml:space="preserve"> and 70 community based healthcare settings including GP practices.</w:t>
      </w:r>
      <w:r>
        <w:rPr>
          <w:rFonts w:cs="Arial"/>
        </w:rPr>
        <w:t xml:space="preserve"> </w:t>
      </w:r>
      <w:r w:rsidRPr="006959A9">
        <w:rPr>
          <w:rFonts w:cs="Arial"/>
          <w:szCs w:val="24"/>
        </w:rPr>
        <w:t>Our aim is to provide high quality care for every person who uses our services and where possible, help people to receive care at home or in a homely setting.</w:t>
      </w:r>
    </w:p>
    <w:p w14:paraId="5D3A06D7" w14:textId="77777777" w:rsidR="0072513C" w:rsidRDefault="0072513C" w:rsidP="0072513C">
      <w:pPr>
        <w:pStyle w:val="ListParagraph"/>
        <w:ind w:left="0"/>
        <w:rPr>
          <w:rFonts w:cs="Arial"/>
          <w:szCs w:val="24"/>
        </w:rPr>
      </w:pPr>
    </w:p>
    <w:p w14:paraId="16254CE9" w14:textId="77777777" w:rsidR="0072513C" w:rsidRDefault="0072513C" w:rsidP="0072513C">
      <w:pPr>
        <w:rPr>
          <w:rFonts w:cs="Arial"/>
        </w:rPr>
      </w:pPr>
    </w:p>
    <w:p w14:paraId="30044237" w14:textId="77777777" w:rsidR="0072513C" w:rsidRPr="004C7189" w:rsidRDefault="0072513C" w:rsidP="0072513C">
      <w:pPr>
        <w:pStyle w:val="ListParagraph"/>
        <w:pBdr>
          <w:top w:val="single" w:sz="4" w:space="1" w:color="auto"/>
          <w:left w:val="single" w:sz="4" w:space="4" w:color="auto"/>
          <w:bottom w:val="single" w:sz="4" w:space="1" w:color="auto"/>
          <w:right w:val="single" w:sz="4" w:space="4" w:color="auto"/>
        </w:pBdr>
        <w:shd w:val="clear" w:color="auto" w:fill="DEEAF6" w:themeFill="accent1" w:themeFillTint="33"/>
        <w:ind w:left="567" w:hanging="567"/>
        <w:rPr>
          <w:rFonts w:cs="Arial"/>
          <w:b/>
          <w:color w:val="00B0F0"/>
          <w:szCs w:val="24"/>
        </w:rPr>
      </w:pPr>
      <w:r>
        <w:rPr>
          <w:rFonts w:cs="Arial"/>
          <w:b/>
          <w:szCs w:val="24"/>
        </w:rPr>
        <w:t>2</w:t>
      </w:r>
      <w:r w:rsidRPr="006959A9">
        <w:rPr>
          <w:rFonts w:cs="Arial"/>
          <w:b/>
          <w:szCs w:val="24"/>
        </w:rPr>
        <w:t>.</w:t>
      </w:r>
      <w:r w:rsidRPr="004C7189">
        <w:rPr>
          <w:rFonts w:cs="Arial"/>
          <w:b/>
          <w:color w:val="00B0F0"/>
          <w:szCs w:val="24"/>
        </w:rPr>
        <w:t xml:space="preserve">   </w:t>
      </w:r>
      <w:r w:rsidRPr="006959A9">
        <w:rPr>
          <w:rFonts w:cs="Arial"/>
          <w:b/>
          <w:szCs w:val="24"/>
        </w:rPr>
        <w:t>Information about our policies and procedures</w:t>
      </w:r>
    </w:p>
    <w:p w14:paraId="2E6CFAF8" w14:textId="77777777" w:rsidR="0072513C" w:rsidRDefault="0072513C" w:rsidP="0072513C">
      <w:pPr>
        <w:pStyle w:val="ListParagraph"/>
        <w:ind w:left="0"/>
        <w:rPr>
          <w:rFonts w:cs="Arial"/>
          <w:b/>
          <w:color w:val="00B0F0"/>
          <w:szCs w:val="24"/>
        </w:rPr>
      </w:pPr>
    </w:p>
    <w:p w14:paraId="25E4BE68" w14:textId="3EF7798A" w:rsidR="0072513C" w:rsidRDefault="0072513C" w:rsidP="0072513C">
      <w:pPr>
        <w:rPr>
          <w:rFonts w:cs="Arial"/>
          <w:szCs w:val="24"/>
        </w:rPr>
      </w:pPr>
      <w:r>
        <w:rPr>
          <w:rFonts w:cs="Arial"/>
          <w:szCs w:val="24"/>
        </w:rPr>
        <w:t xml:space="preserve">NHSAA </w:t>
      </w:r>
      <w:r w:rsidRPr="00384275">
        <w:rPr>
          <w:rFonts w:cs="Arial"/>
          <w:szCs w:val="24"/>
        </w:rPr>
        <w:t xml:space="preserve">has a robust process for the identification and management of adverse events where </w:t>
      </w:r>
      <w:r>
        <w:rPr>
          <w:rFonts w:cs="Arial"/>
          <w:szCs w:val="24"/>
        </w:rPr>
        <w:t>D</w:t>
      </w:r>
      <w:r w:rsidR="001B3DAA">
        <w:rPr>
          <w:rFonts w:cs="Arial"/>
          <w:szCs w:val="24"/>
        </w:rPr>
        <w:t>o</w:t>
      </w:r>
      <w:r>
        <w:rPr>
          <w:rFonts w:cs="Arial"/>
          <w:szCs w:val="24"/>
        </w:rPr>
        <w:t xml:space="preserve">C is activated and </w:t>
      </w:r>
      <w:r w:rsidRPr="00384275">
        <w:rPr>
          <w:rFonts w:cs="Arial"/>
          <w:szCs w:val="24"/>
        </w:rPr>
        <w:t>this proc</w:t>
      </w:r>
      <w:r>
        <w:rPr>
          <w:rFonts w:cs="Arial"/>
          <w:szCs w:val="24"/>
        </w:rPr>
        <w:t xml:space="preserve">ess is integrated within </w:t>
      </w:r>
      <w:r w:rsidR="001B3DAA">
        <w:rPr>
          <w:rFonts w:cs="Arial"/>
          <w:szCs w:val="24"/>
        </w:rPr>
        <w:t>the NHSAA</w:t>
      </w:r>
      <w:r w:rsidRPr="00384275">
        <w:rPr>
          <w:rFonts w:cs="Arial"/>
          <w:szCs w:val="24"/>
        </w:rPr>
        <w:t xml:space="preserve"> Adverse Event Policy.</w:t>
      </w:r>
      <w:r>
        <w:rPr>
          <w:rFonts w:cs="Arial"/>
          <w:szCs w:val="24"/>
        </w:rPr>
        <w:t xml:space="preserve">  </w:t>
      </w:r>
      <w:r w:rsidR="001B3DAA">
        <w:rPr>
          <w:rFonts w:cs="Arial"/>
          <w:szCs w:val="24"/>
        </w:rPr>
        <w:t>A</w:t>
      </w:r>
      <w:r>
        <w:rPr>
          <w:rFonts w:cs="Arial"/>
          <w:szCs w:val="24"/>
        </w:rPr>
        <w:t xml:space="preserve"> </w:t>
      </w:r>
      <w:r w:rsidRPr="00360BAF">
        <w:rPr>
          <w:rFonts w:cs="Arial"/>
          <w:szCs w:val="24"/>
        </w:rPr>
        <w:t xml:space="preserve">stand-alone </w:t>
      </w:r>
      <w:r>
        <w:rPr>
          <w:rFonts w:cs="Arial"/>
          <w:szCs w:val="24"/>
        </w:rPr>
        <w:t>D</w:t>
      </w:r>
      <w:r w:rsidR="001B3DAA">
        <w:rPr>
          <w:rFonts w:cs="Arial"/>
          <w:szCs w:val="24"/>
        </w:rPr>
        <w:t>uty of Candour</w:t>
      </w:r>
      <w:r>
        <w:rPr>
          <w:rFonts w:cs="Arial"/>
          <w:szCs w:val="24"/>
        </w:rPr>
        <w:t xml:space="preserve"> </w:t>
      </w:r>
      <w:r w:rsidRPr="00360BAF">
        <w:rPr>
          <w:rFonts w:cs="Arial"/>
          <w:szCs w:val="24"/>
        </w:rPr>
        <w:t xml:space="preserve">Policy </w:t>
      </w:r>
      <w:r>
        <w:rPr>
          <w:rFonts w:cs="Arial"/>
          <w:szCs w:val="24"/>
        </w:rPr>
        <w:t>is being developed and launched during 2025.</w:t>
      </w:r>
    </w:p>
    <w:p w14:paraId="53696C1B" w14:textId="77777777" w:rsidR="0072513C" w:rsidRDefault="0072513C" w:rsidP="0072513C">
      <w:pPr>
        <w:rPr>
          <w:rFonts w:cs="Arial"/>
          <w:szCs w:val="24"/>
        </w:rPr>
      </w:pPr>
    </w:p>
    <w:p w14:paraId="0E6516DC" w14:textId="66E476EC" w:rsidR="0072513C" w:rsidRDefault="0072513C" w:rsidP="0072513C">
      <w:pPr>
        <w:rPr>
          <w:rFonts w:cs="Arial"/>
          <w:color w:val="00B0F0"/>
          <w:szCs w:val="24"/>
        </w:rPr>
      </w:pPr>
      <w:r w:rsidRPr="00384275">
        <w:rPr>
          <w:rFonts w:cs="Arial"/>
        </w:rPr>
        <w:t xml:space="preserve">A defined guidance for application of </w:t>
      </w:r>
      <w:r>
        <w:rPr>
          <w:rFonts w:cs="Arial"/>
        </w:rPr>
        <w:t>D</w:t>
      </w:r>
      <w:r w:rsidR="00CE445E">
        <w:rPr>
          <w:rFonts w:cs="Arial"/>
        </w:rPr>
        <w:t>o</w:t>
      </w:r>
      <w:r>
        <w:rPr>
          <w:rFonts w:cs="Arial"/>
        </w:rPr>
        <w:t xml:space="preserve">C </w:t>
      </w:r>
      <w:r w:rsidRPr="00384275">
        <w:rPr>
          <w:rFonts w:cs="Arial"/>
        </w:rPr>
        <w:t xml:space="preserve">in relation to unavoidable Grade 3, Grade 4, Suspected Deeper Tissue Injury and </w:t>
      </w:r>
      <w:r w:rsidR="00CE445E">
        <w:rPr>
          <w:rFonts w:cs="Arial"/>
        </w:rPr>
        <w:t>u</w:t>
      </w:r>
      <w:r w:rsidRPr="00384275">
        <w:rPr>
          <w:rFonts w:cs="Arial"/>
        </w:rPr>
        <w:t>ngradable pressure ulcers, acquired under our care</w:t>
      </w:r>
      <w:r>
        <w:rPr>
          <w:rFonts w:cs="Arial"/>
        </w:rPr>
        <w:t>,</w:t>
      </w:r>
      <w:r w:rsidRPr="00384275">
        <w:rPr>
          <w:rFonts w:cs="Arial"/>
        </w:rPr>
        <w:t xml:space="preserve"> was implemented in alignment with </w:t>
      </w:r>
      <w:r w:rsidRPr="00384275">
        <w:rPr>
          <w:rFonts w:cs="Arial"/>
          <w:bCs/>
          <w:szCs w:val="28"/>
        </w:rPr>
        <w:t>Healthcare Improvement Scotland’s Pressure Ulcer Standards</w:t>
      </w:r>
      <w:r w:rsidRPr="00384275">
        <w:rPr>
          <w:rFonts w:cs="Arial"/>
        </w:rPr>
        <w:t>.</w:t>
      </w:r>
    </w:p>
    <w:p w14:paraId="572AC199" w14:textId="77777777" w:rsidR="0072513C" w:rsidRDefault="0072513C" w:rsidP="0072513C">
      <w:pPr>
        <w:pStyle w:val="ListParagraph"/>
        <w:ind w:left="0"/>
        <w:rPr>
          <w:rFonts w:cs="Arial"/>
          <w:szCs w:val="24"/>
        </w:rPr>
      </w:pPr>
    </w:p>
    <w:p w14:paraId="1E51F5F5" w14:textId="274CD37D" w:rsidR="0072513C" w:rsidRPr="00384275" w:rsidRDefault="0072513C" w:rsidP="0072513C">
      <w:pPr>
        <w:pStyle w:val="ListParagraph"/>
        <w:ind w:left="0"/>
        <w:rPr>
          <w:rFonts w:cs="Arial"/>
        </w:rPr>
      </w:pPr>
      <w:r>
        <w:rPr>
          <w:rFonts w:cs="Arial"/>
          <w:szCs w:val="24"/>
        </w:rPr>
        <w:t>A</w:t>
      </w:r>
      <w:r w:rsidRPr="00360BAF">
        <w:rPr>
          <w:rFonts w:cs="Arial"/>
          <w:szCs w:val="24"/>
        </w:rPr>
        <w:t>dverse event</w:t>
      </w:r>
      <w:r>
        <w:rPr>
          <w:rFonts w:cs="Arial"/>
          <w:szCs w:val="24"/>
        </w:rPr>
        <w:t>s are reported onto</w:t>
      </w:r>
      <w:r w:rsidRPr="00360BAF">
        <w:rPr>
          <w:rFonts w:cs="Arial"/>
          <w:szCs w:val="24"/>
        </w:rPr>
        <w:t xml:space="preserve"> </w:t>
      </w:r>
      <w:r w:rsidR="00CE445E">
        <w:rPr>
          <w:rFonts w:cs="Arial"/>
          <w:szCs w:val="24"/>
        </w:rPr>
        <w:t>the</w:t>
      </w:r>
      <w:r w:rsidRPr="00360BAF">
        <w:rPr>
          <w:rFonts w:cs="Arial"/>
          <w:szCs w:val="24"/>
        </w:rPr>
        <w:t xml:space="preserve"> local reporting system as set ou</w:t>
      </w:r>
      <w:r>
        <w:rPr>
          <w:rFonts w:cs="Arial"/>
          <w:szCs w:val="24"/>
        </w:rPr>
        <w:t xml:space="preserve">t in </w:t>
      </w:r>
      <w:r w:rsidR="00CE445E">
        <w:rPr>
          <w:rFonts w:cs="Arial"/>
          <w:szCs w:val="24"/>
        </w:rPr>
        <w:t>the NHSAA</w:t>
      </w:r>
      <w:r>
        <w:rPr>
          <w:rFonts w:cs="Arial"/>
          <w:szCs w:val="24"/>
        </w:rPr>
        <w:t xml:space="preserve"> Adverse Event Policy.  Each </w:t>
      </w:r>
      <w:r w:rsidRPr="00360BAF">
        <w:rPr>
          <w:rFonts w:cs="Arial"/>
          <w:szCs w:val="24"/>
        </w:rPr>
        <w:t xml:space="preserve">event is reviewed to understand what happened and how we might improve the care we </w:t>
      </w:r>
      <w:r>
        <w:rPr>
          <w:rFonts w:cs="Arial"/>
          <w:szCs w:val="24"/>
        </w:rPr>
        <w:t xml:space="preserve">provide in the future.  </w:t>
      </w:r>
      <w:r w:rsidR="00CE445E">
        <w:rPr>
          <w:rFonts w:cs="Arial"/>
          <w:szCs w:val="24"/>
        </w:rPr>
        <w:t>The</w:t>
      </w:r>
      <w:r>
        <w:rPr>
          <w:rFonts w:cs="Arial"/>
          <w:szCs w:val="24"/>
        </w:rPr>
        <w:t xml:space="preserve"> Reviewers and Final Approvers initially identify </w:t>
      </w:r>
      <w:r w:rsidRPr="00360BAF">
        <w:rPr>
          <w:rFonts w:cs="Arial"/>
          <w:szCs w:val="24"/>
        </w:rPr>
        <w:t xml:space="preserve">potential </w:t>
      </w:r>
      <w:r>
        <w:rPr>
          <w:rFonts w:cs="Arial"/>
          <w:szCs w:val="24"/>
        </w:rPr>
        <w:t>D</w:t>
      </w:r>
      <w:r w:rsidR="00CE445E">
        <w:rPr>
          <w:rFonts w:cs="Arial"/>
          <w:szCs w:val="24"/>
        </w:rPr>
        <w:t>o</w:t>
      </w:r>
      <w:r>
        <w:rPr>
          <w:rFonts w:cs="Arial"/>
          <w:szCs w:val="24"/>
        </w:rPr>
        <w:t>C events</w:t>
      </w:r>
      <w:r w:rsidRPr="00360BAF">
        <w:rPr>
          <w:rFonts w:cs="Arial"/>
          <w:szCs w:val="24"/>
        </w:rPr>
        <w:t xml:space="preserve">. </w:t>
      </w:r>
      <w:r>
        <w:rPr>
          <w:rFonts w:cs="Arial"/>
          <w:szCs w:val="24"/>
        </w:rPr>
        <w:t xml:space="preserve"> When identified, a</w:t>
      </w:r>
      <w:r>
        <w:rPr>
          <w:rFonts w:cs="Arial"/>
        </w:rPr>
        <w:t xml:space="preserve">n escalation </w:t>
      </w:r>
      <w:r w:rsidRPr="00384275">
        <w:rPr>
          <w:rFonts w:cs="Arial"/>
        </w:rPr>
        <w:t xml:space="preserve">is generated </w:t>
      </w:r>
      <w:r>
        <w:rPr>
          <w:rFonts w:cs="Arial"/>
        </w:rPr>
        <w:t xml:space="preserve">to the relevant Directorate Adverse Event Review Group (AERG) and an </w:t>
      </w:r>
      <w:r w:rsidRPr="00384275">
        <w:rPr>
          <w:rFonts w:cs="Arial"/>
        </w:rPr>
        <w:t xml:space="preserve">Adverse Event Review Level Decision Making SBAR is submitted to </w:t>
      </w:r>
      <w:r>
        <w:rPr>
          <w:rFonts w:cs="Arial"/>
        </w:rPr>
        <w:t>the AERG to</w:t>
      </w:r>
      <w:r w:rsidRPr="00384275">
        <w:rPr>
          <w:rFonts w:cs="Arial"/>
        </w:rPr>
        <w:t xml:space="preserve"> determine </w:t>
      </w:r>
      <w:r>
        <w:rPr>
          <w:rFonts w:cs="Arial"/>
        </w:rPr>
        <w:t>applicability of D</w:t>
      </w:r>
      <w:r w:rsidR="00CE445E">
        <w:rPr>
          <w:rFonts w:cs="Arial"/>
        </w:rPr>
        <w:t>o</w:t>
      </w:r>
      <w:r>
        <w:rPr>
          <w:rFonts w:cs="Arial"/>
        </w:rPr>
        <w:t>C and the type</w:t>
      </w:r>
      <w:r w:rsidRPr="00384275">
        <w:rPr>
          <w:rFonts w:cs="Arial"/>
        </w:rPr>
        <w:t xml:space="preserve"> of review to be undertaken</w:t>
      </w:r>
      <w:r>
        <w:rPr>
          <w:rFonts w:cs="Arial"/>
        </w:rPr>
        <w:t xml:space="preserve">.  This decision is based </w:t>
      </w:r>
      <w:r w:rsidR="00CE445E">
        <w:rPr>
          <w:rFonts w:cs="Arial"/>
        </w:rPr>
        <w:t>on: -</w:t>
      </w:r>
    </w:p>
    <w:p w14:paraId="495576A5" w14:textId="77777777" w:rsidR="0072513C" w:rsidRPr="004C7189" w:rsidRDefault="0072513C" w:rsidP="0072513C">
      <w:pPr>
        <w:rPr>
          <w:rFonts w:cs="Arial"/>
          <w:color w:val="00B0F0"/>
        </w:rPr>
      </w:pPr>
    </w:p>
    <w:p w14:paraId="6EB56C15" w14:textId="77777777" w:rsidR="0072513C" w:rsidRPr="00384275" w:rsidRDefault="0072513C" w:rsidP="0072513C">
      <w:pPr>
        <w:pStyle w:val="ListParagraph"/>
        <w:numPr>
          <w:ilvl w:val="0"/>
          <w:numId w:val="31"/>
        </w:numPr>
        <w:rPr>
          <w:rFonts w:cs="Arial"/>
        </w:rPr>
      </w:pPr>
      <w:r>
        <w:rPr>
          <w:rFonts w:cs="Arial"/>
        </w:rPr>
        <w:t xml:space="preserve">the </w:t>
      </w:r>
      <w:r w:rsidRPr="00384275">
        <w:rPr>
          <w:rFonts w:cs="Arial"/>
        </w:rPr>
        <w:t>adverse event</w:t>
      </w:r>
      <w:r>
        <w:rPr>
          <w:rFonts w:cs="Arial"/>
        </w:rPr>
        <w:t>;</w:t>
      </w:r>
    </w:p>
    <w:p w14:paraId="41006128" w14:textId="77777777" w:rsidR="0072513C" w:rsidRPr="00384275" w:rsidRDefault="0072513C" w:rsidP="0072513C">
      <w:pPr>
        <w:pStyle w:val="ListParagraph"/>
        <w:numPr>
          <w:ilvl w:val="0"/>
          <w:numId w:val="31"/>
        </w:numPr>
        <w:rPr>
          <w:rFonts w:cs="Arial"/>
        </w:rPr>
      </w:pPr>
      <w:r>
        <w:rPr>
          <w:rFonts w:cs="Arial"/>
        </w:rPr>
        <w:t xml:space="preserve">the </w:t>
      </w:r>
      <w:r w:rsidRPr="00384275">
        <w:rPr>
          <w:rFonts w:cs="Arial"/>
        </w:rPr>
        <w:t>content of the Adv</w:t>
      </w:r>
      <w:r>
        <w:rPr>
          <w:rFonts w:cs="Arial"/>
        </w:rPr>
        <w:t>erse Event Decision Making SBAR;</w:t>
      </w:r>
    </w:p>
    <w:p w14:paraId="469C1B5D" w14:textId="77777777" w:rsidR="0072513C" w:rsidRPr="00384275" w:rsidRDefault="0072513C" w:rsidP="0072513C">
      <w:pPr>
        <w:pStyle w:val="ListParagraph"/>
        <w:numPr>
          <w:ilvl w:val="0"/>
          <w:numId w:val="31"/>
        </w:numPr>
        <w:rPr>
          <w:rFonts w:cs="Arial"/>
        </w:rPr>
      </w:pPr>
      <w:r w:rsidRPr="00384275">
        <w:rPr>
          <w:rFonts w:cs="Arial"/>
        </w:rPr>
        <w:t>NHS</w:t>
      </w:r>
      <w:r>
        <w:rPr>
          <w:rFonts w:cs="Arial"/>
        </w:rPr>
        <w:t xml:space="preserve">AA </w:t>
      </w:r>
      <w:r w:rsidRPr="00384275">
        <w:rPr>
          <w:rFonts w:cs="Arial"/>
        </w:rPr>
        <w:t>agreed ‘Never Events’ list</w:t>
      </w:r>
      <w:r>
        <w:rPr>
          <w:rFonts w:cs="Arial"/>
        </w:rPr>
        <w:t>;</w:t>
      </w:r>
    </w:p>
    <w:p w14:paraId="6DD2A4D6" w14:textId="77777777" w:rsidR="0072513C" w:rsidRPr="00384275" w:rsidRDefault="0072513C" w:rsidP="0072513C">
      <w:pPr>
        <w:pStyle w:val="ListParagraph"/>
        <w:numPr>
          <w:ilvl w:val="0"/>
          <w:numId w:val="31"/>
        </w:numPr>
        <w:rPr>
          <w:rFonts w:cs="Arial"/>
        </w:rPr>
      </w:pPr>
      <w:r>
        <w:rPr>
          <w:rFonts w:cs="Arial"/>
        </w:rPr>
        <w:t>NHSAA Adverse Event Policy, and</w:t>
      </w:r>
    </w:p>
    <w:p w14:paraId="450A8EB7" w14:textId="77777777" w:rsidR="0072513C" w:rsidRPr="00384275" w:rsidRDefault="0072513C" w:rsidP="0072513C">
      <w:pPr>
        <w:pStyle w:val="ListParagraph"/>
        <w:numPr>
          <w:ilvl w:val="0"/>
          <w:numId w:val="31"/>
        </w:numPr>
        <w:rPr>
          <w:rFonts w:cs="Arial"/>
        </w:rPr>
      </w:pPr>
      <w:r>
        <w:rPr>
          <w:rFonts w:cs="Arial"/>
        </w:rPr>
        <w:t xml:space="preserve">the </w:t>
      </w:r>
      <w:r w:rsidRPr="00384275">
        <w:rPr>
          <w:rFonts w:cs="Arial"/>
        </w:rPr>
        <w:t>specialist knowledge of t</w:t>
      </w:r>
      <w:r>
        <w:rPr>
          <w:rFonts w:cs="Arial"/>
        </w:rPr>
        <w:t>he subject experts of the AERG.</w:t>
      </w:r>
    </w:p>
    <w:p w14:paraId="4111EEC1" w14:textId="77777777" w:rsidR="0072513C" w:rsidRDefault="0072513C" w:rsidP="0072513C">
      <w:pPr>
        <w:pStyle w:val="ListParagraph"/>
        <w:ind w:left="0"/>
        <w:rPr>
          <w:rFonts w:cs="Arial"/>
          <w:szCs w:val="24"/>
        </w:rPr>
      </w:pPr>
    </w:p>
    <w:p w14:paraId="194790BE" w14:textId="77777777" w:rsidR="00CE445E" w:rsidRDefault="0072513C" w:rsidP="00CE445E">
      <w:pPr>
        <w:pStyle w:val="ListParagraph"/>
        <w:ind w:left="0"/>
        <w:rPr>
          <w:rFonts w:cs="Arial"/>
          <w:szCs w:val="24"/>
        </w:rPr>
      </w:pPr>
      <w:r>
        <w:rPr>
          <w:rFonts w:cs="Arial"/>
          <w:szCs w:val="24"/>
        </w:rPr>
        <w:t>The type</w:t>
      </w:r>
      <w:r w:rsidRPr="00360BAF">
        <w:rPr>
          <w:rFonts w:cs="Arial"/>
          <w:szCs w:val="24"/>
        </w:rPr>
        <w:t xml:space="preserve"> of review depends on the severity of the event as well as the potential for learning.</w:t>
      </w:r>
      <w:r>
        <w:rPr>
          <w:rFonts w:cs="Arial"/>
          <w:szCs w:val="24"/>
        </w:rPr>
        <w:t xml:space="preserve">  There are three types of review with general approach of;</w:t>
      </w:r>
    </w:p>
    <w:p w14:paraId="38316A8F" w14:textId="77777777" w:rsidR="00CE445E" w:rsidRDefault="0072513C" w:rsidP="00CE445E">
      <w:pPr>
        <w:pStyle w:val="ListParagraph"/>
        <w:numPr>
          <w:ilvl w:val="0"/>
          <w:numId w:val="48"/>
        </w:numPr>
        <w:rPr>
          <w:rFonts w:cs="Arial"/>
          <w:szCs w:val="24"/>
        </w:rPr>
      </w:pPr>
      <w:r w:rsidRPr="00CE445E">
        <w:rPr>
          <w:rFonts w:cs="Arial"/>
          <w:szCs w:val="24"/>
        </w:rPr>
        <w:t xml:space="preserve">ward / departmental review for severity consequence </w:t>
      </w:r>
      <w:r w:rsidR="00CE445E" w:rsidRPr="00CE445E">
        <w:rPr>
          <w:rFonts w:cs="Arial"/>
          <w:szCs w:val="24"/>
        </w:rPr>
        <w:t>1-3</w:t>
      </w:r>
      <w:r w:rsidRPr="00CE445E">
        <w:rPr>
          <w:rFonts w:cs="Arial"/>
          <w:szCs w:val="24"/>
        </w:rPr>
        <w:t xml:space="preserve">, </w:t>
      </w:r>
    </w:p>
    <w:p w14:paraId="5461621E" w14:textId="05EA2E33" w:rsidR="00CE445E" w:rsidRDefault="0072513C" w:rsidP="00CE445E">
      <w:pPr>
        <w:pStyle w:val="ListParagraph"/>
        <w:numPr>
          <w:ilvl w:val="0"/>
          <w:numId w:val="47"/>
        </w:numPr>
        <w:rPr>
          <w:rFonts w:cs="Arial"/>
          <w:szCs w:val="24"/>
        </w:rPr>
      </w:pPr>
      <w:r w:rsidRPr="00CE445E">
        <w:rPr>
          <w:rFonts w:cs="Arial"/>
          <w:szCs w:val="24"/>
        </w:rPr>
        <w:t xml:space="preserve">Local Management Team Review (LMTR) led by the service where the event occurred for severity consequence </w:t>
      </w:r>
      <w:r w:rsidR="00CE445E" w:rsidRPr="00CE445E">
        <w:rPr>
          <w:rFonts w:cs="Arial"/>
          <w:szCs w:val="24"/>
        </w:rPr>
        <w:t>4</w:t>
      </w:r>
      <w:r w:rsidR="00CE445E">
        <w:rPr>
          <w:rFonts w:cs="Arial"/>
          <w:szCs w:val="24"/>
        </w:rPr>
        <w:t>,</w:t>
      </w:r>
    </w:p>
    <w:p w14:paraId="1E091C8F" w14:textId="77777777" w:rsidR="00CE445E" w:rsidRDefault="0072513C" w:rsidP="00CE445E">
      <w:pPr>
        <w:pStyle w:val="ListParagraph"/>
        <w:numPr>
          <w:ilvl w:val="0"/>
          <w:numId w:val="47"/>
        </w:numPr>
        <w:rPr>
          <w:rFonts w:cs="Arial"/>
          <w:szCs w:val="24"/>
        </w:rPr>
      </w:pPr>
      <w:r w:rsidRPr="00CE445E">
        <w:rPr>
          <w:rFonts w:cs="Arial"/>
          <w:szCs w:val="24"/>
        </w:rPr>
        <w:t xml:space="preserve">Significant Adverse Event Review (SAER) led by a different service to where the event occurred for severity consequence </w:t>
      </w:r>
      <w:r w:rsidR="00CE445E">
        <w:rPr>
          <w:rFonts w:cs="Arial"/>
          <w:szCs w:val="24"/>
        </w:rPr>
        <w:t>5</w:t>
      </w:r>
      <w:r w:rsidRPr="00CE445E">
        <w:rPr>
          <w:rFonts w:cs="Arial"/>
          <w:szCs w:val="24"/>
        </w:rPr>
        <w:t xml:space="preserve">.  </w:t>
      </w:r>
    </w:p>
    <w:p w14:paraId="39A6A6FF" w14:textId="77777777" w:rsidR="00CE445E" w:rsidRPr="00CE445E" w:rsidRDefault="00CE445E" w:rsidP="00CE445E">
      <w:pPr>
        <w:rPr>
          <w:rFonts w:cs="Arial"/>
          <w:szCs w:val="24"/>
        </w:rPr>
      </w:pPr>
    </w:p>
    <w:p w14:paraId="2A91AB15" w14:textId="0C6E139C" w:rsidR="0072513C" w:rsidRPr="00384275" w:rsidRDefault="0072513C" w:rsidP="0072513C">
      <w:pPr>
        <w:rPr>
          <w:rFonts w:cs="Arial"/>
          <w:szCs w:val="24"/>
        </w:rPr>
      </w:pPr>
      <w:r w:rsidRPr="00CE445E">
        <w:rPr>
          <w:rFonts w:cs="Arial"/>
          <w:szCs w:val="24"/>
        </w:rPr>
        <w:t>NHSAA has committed to commissioning a minimum of a LMTR where D</w:t>
      </w:r>
      <w:r w:rsidR="00CE445E" w:rsidRPr="00CE445E">
        <w:rPr>
          <w:rFonts w:cs="Arial"/>
          <w:szCs w:val="24"/>
        </w:rPr>
        <w:t>o</w:t>
      </w:r>
      <w:r w:rsidRPr="00CE445E">
        <w:rPr>
          <w:rFonts w:cs="Arial"/>
          <w:szCs w:val="24"/>
        </w:rPr>
        <w:t xml:space="preserve">C has been activated.  </w:t>
      </w:r>
      <w:r>
        <w:rPr>
          <w:rFonts w:cs="Arial"/>
          <w:szCs w:val="24"/>
        </w:rPr>
        <w:t xml:space="preserve">In addition, we </w:t>
      </w:r>
      <w:r w:rsidRPr="00384275">
        <w:rPr>
          <w:rFonts w:cs="Arial"/>
          <w:szCs w:val="24"/>
        </w:rPr>
        <w:t xml:space="preserve">have robust governance arrangements to monitor all reported adverse events to provide further assurance that any </w:t>
      </w:r>
      <w:r>
        <w:rPr>
          <w:rFonts w:cs="Arial"/>
          <w:szCs w:val="24"/>
        </w:rPr>
        <w:t>events which may be D</w:t>
      </w:r>
      <w:r w:rsidR="00CE445E">
        <w:rPr>
          <w:rFonts w:cs="Arial"/>
          <w:szCs w:val="24"/>
        </w:rPr>
        <w:t>o</w:t>
      </w:r>
      <w:r>
        <w:rPr>
          <w:rFonts w:cs="Arial"/>
          <w:szCs w:val="24"/>
        </w:rPr>
        <w:t xml:space="preserve">C applicable </w:t>
      </w:r>
      <w:r w:rsidRPr="00384275">
        <w:rPr>
          <w:rFonts w:cs="Arial"/>
          <w:szCs w:val="24"/>
        </w:rPr>
        <w:t>are identified.</w:t>
      </w:r>
    </w:p>
    <w:p w14:paraId="315D206B" w14:textId="77777777" w:rsidR="0072513C" w:rsidRPr="004C7189" w:rsidRDefault="0072513C" w:rsidP="0072513C">
      <w:pPr>
        <w:rPr>
          <w:rFonts w:cs="Arial"/>
          <w:color w:val="00B0F0"/>
        </w:rPr>
      </w:pPr>
    </w:p>
    <w:p w14:paraId="5CB16FE7" w14:textId="0657A30D" w:rsidR="0072513C" w:rsidRPr="00384275" w:rsidRDefault="0072513C" w:rsidP="0072513C">
      <w:pPr>
        <w:pStyle w:val="BodyText"/>
        <w:spacing w:after="0"/>
      </w:pPr>
      <w:r w:rsidRPr="00384275">
        <w:t>Whe</w:t>
      </w:r>
      <w:r>
        <w:t>re D</w:t>
      </w:r>
      <w:r w:rsidR="00CE445E">
        <w:t>o</w:t>
      </w:r>
      <w:r>
        <w:t>C is confirmed by the AERG, all necessary actions are</w:t>
      </w:r>
      <w:r w:rsidRPr="00384275">
        <w:t xml:space="preserve"> taken in accordance with the </w:t>
      </w:r>
      <w:r>
        <w:t>D</w:t>
      </w:r>
      <w:r w:rsidR="00CE445E">
        <w:t>o</w:t>
      </w:r>
      <w:r>
        <w:t xml:space="preserve">C </w:t>
      </w:r>
      <w:r w:rsidR="00CE445E">
        <w:t>requirements</w:t>
      </w:r>
      <w:r>
        <w:t xml:space="preserve">.  The key stages are as </w:t>
      </w:r>
      <w:r w:rsidR="00CE445E">
        <w:t>follows</w:t>
      </w:r>
      <w:r w:rsidR="00CE445E" w:rsidRPr="00384275">
        <w:t>:</w:t>
      </w:r>
      <w:r w:rsidR="00CE445E">
        <w:t xml:space="preserve"> -</w:t>
      </w:r>
    </w:p>
    <w:p w14:paraId="1E1ED241" w14:textId="77777777" w:rsidR="0072513C" w:rsidRPr="00384275" w:rsidRDefault="0072513C" w:rsidP="0072513C">
      <w:pPr>
        <w:pStyle w:val="BodyText"/>
        <w:spacing w:after="0"/>
      </w:pPr>
    </w:p>
    <w:p w14:paraId="1F74B938" w14:textId="77777777" w:rsidR="0072513C" w:rsidRPr="00384275" w:rsidRDefault="0072513C" w:rsidP="0072513C">
      <w:pPr>
        <w:pStyle w:val="BodyText"/>
        <w:numPr>
          <w:ilvl w:val="0"/>
          <w:numId w:val="10"/>
        </w:numPr>
        <w:spacing w:after="0"/>
        <w:rPr>
          <w:lang w:eastAsia="en-US"/>
        </w:rPr>
      </w:pPr>
      <w:r>
        <w:rPr>
          <w:lang w:eastAsia="en-US"/>
        </w:rPr>
        <w:t>notify the patient</w:t>
      </w:r>
      <w:r w:rsidRPr="00384275">
        <w:rPr>
          <w:lang w:eastAsia="en-US"/>
        </w:rPr>
        <w:t xml:space="preserve"> affected (</w:t>
      </w:r>
      <w:r>
        <w:rPr>
          <w:lang w:eastAsia="en-US"/>
        </w:rPr>
        <w:t xml:space="preserve">and / </w:t>
      </w:r>
      <w:r w:rsidRPr="00384275">
        <w:rPr>
          <w:lang w:eastAsia="en-US"/>
        </w:rPr>
        <w:t>or</w:t>
      </w:r>
      <w:r>
        <w:rPr>
          <w:lang w:eastAsia="en-US"/>
        </w:rPr>
        <w:t xml:space="preserve"> family where appropriate);</w:t>
      </w:r>
    </w:p>
    <w:p w14:paraId="5BF25642" w14:textId="77777777" w:rsidR="0072513C" w:rsidRPr="00384275" w:rsidRDefault="0072513C" w:rsidP="0072513C">
      <w:pPr>
        <w:pStyle w:val="BodyText"/>
        <w:numPr>
          <w:ilvl w:val="0"/>
          <w:numId w:val="10"/>
        </w:numPr>
        <w:spacing w:after="0"/>
        <w:rPr>
          <w:lang w:eastAsia="en-US"/>
        </w:rPr>
      </w:pPr>
      <w:r>
        <w:rPr>
          <w:lang w:eastAsia="en-US"/>
        </w:rPr>
        <w:t>p</w:t>
      </w:r>
      <w:r w:rsidRPr="00384275">
        <w:rPr>
          <w:lang w:eastAsia="en-US"/>
        </w:rPr>
        <w:t>rovide a verbal ap</w:t>
      </w:r>
      <w:r>
        <w:rPr>
          <w:lang w:eastAsia="en-US"/>
        </w:rPr>
        <w:t>ology with follow up in writing;</w:t>
      </w:r>
    </w:p>
    <w:p w14:paraId="7AE415AA" w14:textId="77777777" w:rsidR="0072513C" w:rsidRPr="00384275" w:rsidRDefault="0072513C" w:rsidP="0072513C">
      <w:pPr>
        <w:pStyle w:val="BodyText"/>
        <w:numPr>
          <w:ilvl w:val="0"/>
          <w:numId w:val="10"/>
        </w:numPr>
        <w:spacing w:after="0"/>
        <w:rPr>
          <w:lang w:eastAsia="en-US"/>
        </w:rPr>
      </w:pPr>
      <w:r>
        <w:rPr>
          <w:lang w:eastAsia="en-US"/>
        </w:rPr>
        <w:t>c</w:t>
      </w:r>
      <w:r w:rsidRPr="00384275">
        <w:rPr>
          <w:lang w:eastAsia="en-US"/>
        </w:rPr>
        <w:t>arry out a review into the circumstanc</w:t>
      </w:r>
      <w:r>
        <w:rPr>
          <w:lang w:eastAsia="en-US"/>
        </w:rPr>
        <w:t>es leading to the adverse event;</w:t>
      </w:r>
    </w:p>
    <w:p w14:paraId="1B2005FC" w14:textId="77777777" w:rsidR="0072513C" w:rsidRPr="00384275" w:rsidRDefault="0072513C" w:rsidP="0072513C">
      <w:pPr>
        <w:pStyle w:val="BodyText"/>
        <w:numPr>
          <w:ilvl w:val="0"/>
          <w:numId w:val="10"/>
        </w:numPr>
        <w:spacing w:after="0"/>
        <w:rPr>
          <w:lang w:eastAsia="en-US"/>
        </w:rPr>
      </w:pPr>
      <w:r>
        <w:rPr>
          <w:lang w:eastAsia="en-US"/>
        </w:rPr>
        <w:t>o</w:t>
      </w:r>
      <w:r w:rsidRPr="00384275">
        <w:rPr>
          <w:lang w:eastAsia="en-US"/>
        </w:rPr>
        <w:t>ffer and ar</w:t>
      </w:r>
      <w:r>
        <w:rPr>
          <w:lang w:eastAsia="en-US"/>
        </w:rPr>
        <w:t>range a meeting to take on board their views and listen to their concerns;</w:t>
      </w:r>
    </w:p>
    <w:p w14:paraId="36924553" w14:textId="77777777" w:rsidR="0072513C" w:rsidRPr="00384275" w:rsidRDefault="0072513C" w:rsidP="0072513C">
      <w:pPr>
        <w:pStyle w:val="BodyText"/>
        <w:numPr>
          <w:ilvl w:val="0"/>
          <w:numId w:val="10"/>
        </w:numPr>
        <w:spacing w:after="0"/>
        <w:rPr>
          <w:lang w:eastAsia="en-US"/>
        </w:rPr>
      </w:pPr>
      <w:r>
        <w:rPr>
          <w:lang w:eastAsia="en-US"/>
        </w:rPr>
        <w:t xml:space="preserve">provide them with an account of the adverse event and </w:t>
      </w:r>
      <w:r w:rsidRPr="00384275">
        <w:rPr>
          <w:lang w:eastAsia="en-US"/>
        </w:rPr>
        <w:t>wit</w:t>
      </w:r>
      <w:r>
        <w:rPr>
          <w:lang w:eastAsia="en-US"/>
        </w:rPr>
        <w:t>h detail of the review findings;</w:t>
      </w:r>
    </w:p>
    <w:p w14:paraId="247A6482" w14:textId="77777777" w:rsidR="0072513C" w:rsidRPr="00384275" w:rsidRDefault="0072513C" w:rsidP="0072513C">
      <w:pPr>
        <w:pStyle w:val="BodyText"/>
        <w:numPr>
          <w:ilvl w:val="0"/>
          <w:numId w:val="10"/>
        </w:numPr>
        <w:spacing w:after="0"/>
        <w:rPr>
          <w:lang w:eastAsia="en-US"/>
        </w:rPr>
      </w:pPr>
      <w:r>
        <w:rPr>
          <w:lang w:eastAsia="en-US"/>
        </w:rPr>
        <w:t>p</w:t>
      </w:r>
      <w:r w:rsidRPr="00384275">
        <w:rPr>
          <w:lang w:eastAsia="en-US"/>
        </w:rPr>
        <w:t>rovide inform</w:t>
      </w:r>
      <w:r>
        <w:rPr>
          <w:lang w:eastAsia="en-US"/>
        </w:rPr>
        <w:t>ation about improvement actions;</w:t>
      </w:r>
    </w:p>
    <w:p w14:paraId="066EA386" w14:textId="77777777" w:rsidR="0072513C" w:rsidRDefault="0072513C" w:rsidP="0072513C">
      <w:pPr>
        <w:pStyle w:val="BodyText"/>
        <w:numPr>
          <w:ilvl w:val="0"/>
          <w:numId w:val="10"/>
        </w:numPr>
        <w:autoSpaceDE w:val="0"/>
        <w:autoSpaceDN w:val="0"/>
        <w:adjustRightInd w:val="0"/>
        <w:spacing w:after="0"/>
        <w:rPr>
          <w:lang w:eastAsia="en-US"/>
        </w:rPr>
      </w:pPr>
      <w:r>
        <w:rPr>
          <w:lang w:eastAsia="en-US"/>
        </w:rPr>
        <w:t xml:space="preserve">make available and / or provide information about </w:t>
      </w:r>
      <w:r w:rsidRPr="00384275">
        <w:rPr>
          <w:lang w:eastAsia="en-US"/>
        </w:rPr>
        <w:t>support</w:t>
      </w:r>
      <w:r>
        <w:rPr>
          <w:lang w:eastAsia="en-US"/>
        </w:rPr>
        <w:t>, and</w:t>
      </w:r>
    </w:p>
    <w:p w14:paraId="5D840C6B" w14:textId="66678840" w:rsidR="0072513C" w:rsidRPr="00384275" w:rsidRDefault="0072513C" w:rsidP="0072513C">
      <w:pPr>
        <w:pStyle w:val="BodyText"/>
        <w:numPr>
          <w:ilvl w:val="0"/>
          <w:numId w:val="10"/>
        </w:numPr>
        <w:autoSpaceDE w:val="0"/>
        <w:autoSpaceDN w:val="0"/>
        <w:adjustRightInd w:val="0"/>
        <w:spacing w:after="0"/>
        <w:rPr>
          <w:lang w:eastAsia="en-US"/>
        </w:rPr>
      </w:pPr>
      <w:r>
        <w:rPr>
          <w:lang w:eastAsia="en-US"/>
        </w:rPr>
        <w:t>prepare and publish a D</w:t>
      </w:r>
      <w:r w:rsidR="00CE445E">
        <w:rPr>
          <w:lang w:eastAsia="en-US"/>
        </w:rPr>
        <w:t>o</w:t>
      </w:r>
      <w:r>
        <w:rPr>
          <w:lang w:eastAsia="en-US"/>
        </w:rPr>
        <w:t>C annual report.</w:t>
      </w:r>
    </w:p>
    <w:p w14:paraId="2DDD3C50" w14:textId="77777777" w:rsidR="0072513C" w:rsidRDefault="0072513C" w:rsidP="0072513C">
      <w:pPr>
        <w:pStyle w:val="ListParagraph"/>
        <w:ind w:left="0"/>
        <w:rPr>
          <w:rFonts w:cs="Arial"/>
          <w:color w:val="00B0F0"/>
          <w:szCs w:val="24"/>
        </w:rPr>
      </w:pPr>
    </w:p>
    <w:p w14:paraId="1B5FA1EE" w14:textId="77777777" w:rsidR="0072513C" w:rsidRPr="004C7189" w:rsidRDefault="0072513C" w:rsidP="0072513C">
      <w:pPr>
        <w:pStyle w:val="ListParagraph"/>
        <w:ind w:left="0"/>
        <w:rPr>
          <w:rFonts w:cs="Arial"/>
          <w:color w:val="00B050"/>
          <w:szCs w:val="24"/>
        </w:rPr>
      </w:pPr>
      <w:r>
        <w:rPr>
          <w:rFonts w:cs="Arial"/>
          <w:szCs w:val="24"/>
        </w:rPr>
        <w:t xml:space="preserve">Both the SAER </w:t>
      </w:r>
      <w:r w:rsidRPr="00384275">
        <w:rPr>
          <w:rFonts w:cs="Arial"/>
          <w:szCs w:val="24"/>
        </w:rPr>
        <w:t xml:space="preserve">and </w:t>
      </w:r>
      <w:r>
        <w:rPr>
          <w:rFonts w:cs="Arial"/>
          <w:szCs w:val="24"/>
        </w:rPr>
        <w:t>LMTR processes include the stages detailed</w:t>
      </w:r>
      <w:r w:rsidRPr="00384275">
        <w:rPr>
          <w:rFonts w:cs="Arial"/>
          <w:szCs w:val="24"/>
        </w:rPr>
        <w:t xml:space="preserve"> above and a formal report is pro</w:t>
      </w:r>
      <w:r>
        <w:rPr>
          <w:rFonts w:cs="Arial"/>
          <w:szCs w:val="24"/>
        </w:rPr>
        <w:t xml:space="preserve">duced to identify </w:t>
      </w:r>
      <w:r w:rsidRPr="00384275">
        <w:rPr>
          <w:rFonts w:cs="Arial"/>
          <w:szCs w:val="24"/>
        </w:rPr>
        <w:t>learning</w:t>
      </w:r>
      <w:r>
        <w:rPr>
          <w:rFonts w:cs="Arial"/>
          <w:szCs w:val="24"/>
        </w:rPr>
        <w:t xml:space="preserve"> which is shared with the patient / family / staff involved as requested</w:t>
      </w:r>
      <w:r w:rsidRPr="00384275">
        <w:rPr>
          <w:rFonts w:cs="Arial"/>
          <w:szCs w:val="24"/>
        </w:rPr>
        <w:t>.</w:t>
      </w:r>
      <w:r>
        <w:rPr>
          <w:rFonts w:cs="Arial"/>
          <w:szCs w:val="24"/>
        </w:rPr>
        <w:t xml:space="preserve">  Organisational Learning Summaries are developed and shared accordingly throughout NHSAA.  R</w:t>
      </w:r>
      <w:r w:rsidRPr="00384275">
        <w:rPr>
          <w:rFonts w:cs="Arial"/>
          <w:szCs w:val="24"/>
        </w:rPr>
        <w:t xml:space="preserve">ecommendations are made </w:t>
      </w:r>
      <w:r>
        <w:rPr>
          <w:rFonts w:cs="Arial"/>
          <w:szCs w:val="24"/>
        </w:rPr>
        <w:t>where Local Management T</w:t>
      </w:r>
      <w:r w:rsidRPr="00384275">
        <w:rPr>
          <w:rFonts w:cs="Arial"/>
          <w:szCs w:val="24"/>
        </w:rPr>
        <w:t>eams de</w:t>
      </w:r>
      <w:r>
        <w:rPr>
          <w:rFonts w:cs="Arial"/>
          <w:szCs w:val="24"/>
        </w:rPr>
        <w:t>velop Improvement Plans to meet the</w:t>
      </w:r>
      <w:r w:rsidRPr="00384275">
        <w:rPr>
          <w:rFonts w:cs="Arial"/>
          <w:szCs w:val="24"/>
        </w:rPr>
        <w:t xml:space="preserve"> recommendations. </w:t>
      </w:r>
    </w:p>
    <w:p w14:paraId="3ED3EB45" w14:textId="77777777" w:rsidR="0072513C" w:rsidRDefault="0072513C" w:rsidP="0072513C">
      <w:pPr>
        <w:pStyle w:val="ListParagraph"/>
        <w:ind w:left="0"/>
        <w:rPr>
          <w:rFonts w:cs="Arial"/>
          <w:szCs w:val="24"/>
        </w:rPr>
      </w:pPr>
    </w:p>
    <w:p w14:paraId="62F59EAA" w14:textId="77777777" w:rsidR="0072513C" w:rsidRPr="00384275" w:rsidRDefault="0072513C" w:rsidP="0072513C">
      <w:pPr>
        <w:pStyle w:val="ListParagraph"/>
        <w:ind w:left="0"/>
        <w:rPr>
          <w:rFonts w:cs="Arial"/>
          <w:szCs w:val="24"/>
        </w:rPr>
      </w:pPr>
    </w:p>
    <w:p w14:paraId="03D4CF7B" w14:textId="77777777" w:rsidR="0072513C" w:rsidRPr="000B403B" w:rsidRDefault="0072513C" w:rsidP="0072513C">
      <w:pPr>
        <w:pBdr>
          <w:top w:val="single" w:sz="4" w:space="1" w:color="auto"/>
          <w:left w:val="single" w:sz="4" w:space="4" w:color="auto"/>
          <w:bottom w:val="single" w:sz="4" w:space="1" w:color="auto"/>
          <w:right w:val="single" w:sz="4" w:space="4" w:color="auto"/>
        </w:pBdr>
        <w:shd w:val="clear" w:color="auto" w:fill="DEEAF6" w:themeFill="accent1" w:themeFillTint="33"/>
        <w:rPr>
          <w:rStyle w:val="Strong"/>
        </w:rPr>
      </w:pPr>
      <w:r>
        <w:rPr>
          <w:rStyle w:val="Strong"/>
        </w:rPr>
        <w:t>3</w:t>
      </w:r>
      <w:r w:rsidRPr="000B403B">
        <w:rPr>
          <w:rStyle w:val="Strong"/>
        </w:rPr>
        <w:t>.    Su</w:t>
      </w:r>
      <w:r>
        <w:rPr>
          <w:rStyle w:val="Strong"/>
        </w:rPr>
        <w:t>pport for our patients / families</w:t>
      </w:r>
    </w:p>
    <w:p w14:paraId="16284E7E" w14:textId="77777777" w:rsidR="0072513C" w:rsidRDefault="0072513C" w:rsidP="0072513C">
      <w:pPr>
        <w:rPr>
          <w:rFonts w:cs="Arial"/>
          <w:b/>
          <w:color w:val="00B050"/>
          <w:szCs w:val="24"/>
        </w:rPr>
      </w:pPr>
    </w:p>
    <w:p w14:paraId="23580314" w14:textId="4BABE5C5" w:rsidR="0072513C" w:rsidRPr="00D02D93" w:rsidRDefault="0072513C" w:rsidP="0072513C">
      <w:pPr>
        <w:rPr>
          <w:rFonts w:cs="Arial"/>
          <w:szCs w:val="24"/>
        </w:rPr>
      </w:pPr>
      <w:r>
        <w:rPr>
          <w:rFonts w:cs="Arial"/>
          <w:szCs w:val="24"/>
        </w:rPr>
        <w:t xml:space="preserve">We understand how distressing it can be for our patients and their families when they are affected by an adverse event, particularly when this is a significant event which activates </w:t>
      </w:r>
      <w:proofErr w:type="spellStart"/>
      <w:r>
        <w:rPr>
          <w:rFonts w:cs="Arial"/>
          <w:szCs w:val="24"/>
        </w:rPr>
        <w:t>D</w:t>
      </w:r>
      <w:r w:rsidR="00CE445E">
        <w:rPr>
          <w:rFonts w:cs="Arial"/>
          <w:szCs w:val="24"/>
        </w:rPr>
        <w:t>o</w:t>
      </w:r>
      <w:r>
        <w:rPr>
          <w:rFonts w:cs="Arial"/>
          <w:szCs w:val="24"/>
        </w:rPr>
        <w:t>C.</w:t>
      </w:r>
      <w:proofErr w:type="spellEnd"/>
      <w:r>
        <w:rPr>
          <w:rFonts w:cs="Arial"/>
          <w:szCs w:val="24"/>
        </w:rPr>
        <w:t xml:space="preserve">  As such, following a verbal apology, </w:t>
      </w:r>
      <w:r w:rsidRPr="00360BAF">
        <w:rPr>
          <w:rFonts w:cs="Arial"/>
          <w:szCs w:val="24"/>
        </w:rPr>
        <w:t xml:space="preserve">a </w:t>
      </w:r>
      <w:r>
        <w:rPr>
          <w:rFonts w:cs="Arial"/>
          <w:szCs w:val="24"/>
        </w:rPr>
        <w:t xml:space="preserve">single point of contact (SPOC) from the Review Team is assigned to the patient / family.  They have the </w:t>
      </w:r>
      <w:r w:rsidRPr="00360BAF">
        <w:rPr>
          <w:rFonts w:cs="Arial"/>
          <w:szCs w:val="24"/>
        </w:rPr>
        <w:t xml:space="preserve">required skills to respectfully disclose sensitive information and answer </w:t>
      </w:r>
      <w:r>
        <w:rPr>
          <w:rFonts w:cs="Arial"/>
          <w:szCs w:val="24"/>
        </w:rPr>
        <w:t xml:space="preserve">any </w:t>
      </w:r>
      <w:r w:rsidRPr="00360BAF">
        <w:rPr>
          <w:rFonts w:cs="Arial"/>
          <w:szCs w:val="24"/>
        </w:rPr>
        <w:t>questions or concerns</w:t>
      </w:r>
      <w:r>
        <w:rPr>
          <w:rFonts w:cs="Arial"/>
          <w:szCs w:val="24"/>
        </w:rPr>
        <w:t xml:space="preserve">.  The SPOC endeavours to arrange meetings with the patient / family as required, takes on board their views, listens to their concerns, advises on the review process and </w:t>
      </w:r>
      <w:r w:rsidRPr="00360BAF">
        <w:rPr>
          <w:rFonts w:cs="Arial"/>
          <w:szCs w:val="24"/>
        </w:rPr>
        <w:t>provide</w:t>
      </w:r>
      <w:r>
        <w:rPr>
          <w:rFonts w:cs="Arial"/>
          <w:szCs w:val="24"/>
        </w:rPr>
        <w:t>s</w:t>
      </w:r>
      <w:r w:rsidRPr="00360BAF">
        <w:rPr>
          <w:rFonts w:cs="Arial"/>
          <w:szCs w:val="24"/>
        </w:rPr>
        <w:t xml:space="preserve"> regular </w:t>
      </w:r>
      <w:r>
        <w:rPr>
          <w:rFonts w:cs="Arial"/>
          <w:szCs w:val="24"/>
        </w:rPr>
        <w:t xml:space="preserve">updates.  Upon conclusion of the review, the patient / family are offered a copy of </w:t>
      </w:r>
      <w:r>
        <w:rPr>
          <w:rFonts w:cs="Arial"/>
          <w:szCs w:val="24"/>
        </w:rPr>
        <w:lastRenderedPageBreak/>
        <w:t>the final review report and an opportunity to discuss the findings.  In addition, a review process information leaflet is provided.</w:t>
      </w:r>
    </w:p>
    <w:p w14:paraId="353A7455" w14:textId="77777777" w:rsidR="0072513C" w:rsidRDefault="0072513C" w:rsidP="0072513C">
      <w:pPr>
        <w:pStyle w:val="ListParagraph"/>
        <w:ind w:left="0"/>
        <w:rPr>
          <w:rFonts w:cs="Arial"/>
          <w:szCs w:val="24"/>
        </w:rPr>
      </w:pPr>
    </w:p>
    <w:p w14:paraId="1E8DBC4B" w14:textId="77777777" w:rsidR="0072513C" w:rsidRPr="000B403B" w:rsidRDefault="0072513C" w:rsidP="0072513C">
      <w:pPr>
        <w:pStyle w:val="ListParagraph"/>
        <w:pBdr>
          <w:top w:val="single" w:sz="4" w:space="1" w:color="auto"/>
          <w:left w:val="single" w:sz="4" w:space="4" w:color="auto"/>
          <w:bottom w:val="single" w:sz="4" w:space="1" w:color="auto"/>
          <w:right w:val="single" w:sz="4" w:space="4" w:color="auto"/>
        </w:pBdr>
        <w:shd w:val="clear" w:color="auto" w:fill="DEEAF6" w:themeFill="accent1" w:themeFillTint="33"/>
        <w:ind w:left="0"/>
        <w:rPr>
          <w:rStyle w:val="Strong"/>
        </w:rPr>
      </w:pPr>
      <w:r>
        <w:rPr>
          <w:rStyle w:val="Strong"/>
        </w:rPr>
        <w:t>4</w:t>
      </w:r>
      <w:r w:rsidRPr="000B403B">
        <w:rPr>
          <w:rStyle w:val="Strong"/>
        </w:rPr>
        <w:t xml:space="preserve">.    Support and training for </w:t>
      </w:r>
      <w:r>
        <w:rPr>
          <w:rStyle w:val="Strong"/>
        </w:rPr>
        <w:t xml:space="preserve">our </w:t>
      </w:r>
      <w:r w:rsidRPr="000B403B">
        <w:rPr>
          <w:rStyle w:val="Strong"/>
        </w:rPr>
        <w:t xml:space="preserve">staff </w:t>
      </w:r>
    </w:p>
    <w:p w14:paraId="3E7D53CD" w14:textId="77777777" w:rsidR="0072513C" w:rsidRDefault="0072513C" w:rsidP="0072513C">
      <w:pPr>
        <w:pStyle w:val="ListParagraph"/>
        <w:ind w:left="0"/>
        <w:rPr>
          <w:rFonts w:cs="Arial"/>
          <w:szCs w:val="24"/>
        </w:rPr>
      </w:pPr>
    </w:p>
    <w:p w14:paraId="6904AF0B" w14:textId="77777777" w:rsidR="0072513C" w:rsidRPr="00E057FA" w:rsidRDefault="0072513C" w:rsidP="0072513C">
      <w:pPr>
        <w:rPr>
          <w:rFonts w:cs="Arial"/>
          <w:szCs w:val="24"/>
        </w:rPr>
      </w:pPr>
      <w:r w:rsidRPr="00360BAF">
        <w:rPr>
          <w:rFonts w:cs="Arial"/>
          <w:szCs w:val="24"/>
        </w:rPr>
        <w:t xml:space="preserve">We </w:t>
      </w:r>
      <w:r>
        <w:rPr>
          <w:rFonts w:cs="Arial"/>
          <w:szCs w:val="24"/>
        </w:rPr>
        <w:t xml:space="preserve">appreciate </w:t>
      </w:r>
      <w:r w:rsidRPr="00360BAF">
        <w:rPr>
          <w:rFonts w:cs="Arial"/>
          <w:szCs w:val="24"/>
        </w:rPr>
        <w:t xml:space="preserve">adverse events can be distressing for </w:t>
      </w:r>
      <w:r>
        <w:rPr>
          <w:rFonts w:cs="Arial"/>
          <w:szCs w:val="24"/>
        </w:rPr>
        <w:t xml:space="preserve">our </w:t>
      </w:r>
      <w:r w:rsidRPr="00360BAF">
        <w:rPr>
          <w:rFonts w:cs="Arial"/>
          <w:szCs w:val="24"/>
        </w:rPr>
        <w:t xml:space="preserve">staff as well as </w:t>
      </w:r>
      <w:r>
        <w:rPr>
          <w:rFonts w:cs="Arial"/>
          <w:szCs w:val="24"/>
        </w:rPr>
        <w:t>our patients and that it’s vital to help them to understand what happened, to make sure they do not feel isolated and to emphasise the purpose of the review is for learning and improving and not about apportioning blame.  This is critical to reduce the impact of trauma and help with their health, wellbeing and recovery.  As such, they are assigned</w:t>
      </w:r>
      <w:r w:rsidRPr="00360BAF">
        <w:rPr>
          <w:rFonts w:cs="Arial"/>
          <w:szCs w:val="24"/>
        </w:rPr>
        <w:t xml:space="preserve"> a </w:t>
      </w:r>
      <w:r>
        <w:rPr>
          <w:rFonts w:cs="Arial"/>
          <w:szCs w:val="24"/>
        </w:rPr>
        <w:t>SPOC from the Review Team who has</w:t>
      </w:r>
      <w:r w:rsidRPr="00360BAF">
        <w:rPr>
          <w:rFonts w:cs="Arial"/>
          <w:szCs w:val="24"/>
        </w:rPr>
        <w:t xml:space="preserve"> the required skills to </w:t>
      </w:r>
      <w:r>
        <w:rPr>
          <w:rFonts w:cs="Arial"/>
          <w:szCs w:val="24"/>
        </w:rPr>
        <w:t>support them throughout the review process. Upon conclusion of the review, they are offered a copy of the final review report and an opportunity to discuss the findings.  In addition, an information leaflet is provided to explain what to expect when involved with a review and signposting to the many internal s</w:t>
      </w:r>
      <w:r w:rsidRPr="00360BAF">
        <w:rPr>
          <w:rFonts w:cs="Arial"/>
          <w:szCs w:val="24"/>
        </w:rPr>
        <w:t xml:space="preserve">upport </w:t>
      </w:r>
      <w:r>
        <w:rPr>
          <w:rFonts w:cs="Arial"/>
          <w:szCs w:val="24"/>
        </w:rPr>
        <w:t xml:space="preserve">services </w:t>
      </w:r>
      <w:r w:rsidRPr="00360BAF">
        <w:rPr>
          <w:rFonts w:cs="Arial"/>
          <w:szCs w:val="24"/>
        </w:rPr>
        <w:t>available</w:t>
      </w:r>
      <w:r>
        <w:rPr>
          <w:rFonts w:cs="Arial"/>
          <w:szCs w:val="24"/>
        </w:rPr>
        <w:t xml:space="preserve"> e.g. </w:t>
      </w:r>
      <w:r w:rsidRPr="00360BAF">
        <w:rPr>
          <w:rFonts w:cs="Arial"/>
          <w:szCs w:val="24"/>
        </w:rPr>
        <w:t>Occ</w:t>
      </w:r>
      <w:r>
        <w:rPr>
          <w:rFonts w:cs="Arial"/>
          <w:szCs w:val="24"/>
        </w:rPr>
        <w:t xml:space="preserve">upational Health, Staff Care, Better Health Hub and Psychology Services.  </w:t>
      </w:r>
    </w:p>
    <w:p w14:paraId="73BC3573" w14:textId="77777777" w:rsidR="0072513C" w:rsidRDefault="0072513C" w:rsidP="0072513C">
      <w:pPr>
        <w:pStyle w:val="ListParagraph"/>
        <w:ind w:left="0"/>
        <w:rPr>
          <w:rFonts w:cs="Arial"/>
          <w:color w:val="00B050"/>
          <w:szCs w:val="24"/>
        </w:rPr>
      </w:pPr>
    </w:p>
    <w:p w14:paraId="165B71AB" w14:textId="7FF5B55F" w:rsidR="0072513C" w:rsidRDefault="0072513C" w:rsidP="0072513C">
      <w:pPr>
        <w:pStyle w:val="ListParagraph"/>
        <w:ind w:left="0"/>
        <w:rPr>
          <w:rFonts w:cs="Arial"/>
          <w:i/>
          <w:szCs w:val="24"/>
        </w:rPr>
      </w:pPr>
      <w:r>
        <w:rPr>
          <w:rFonts w:cs="Arial"/>
          <w:szCs w:val="24"/>
        </w:rPr>
        <w:t xml:space="preserve">NHSAA strive to ensure that staff who are part of a Review Team have the relevant training, guidance and support on the process.  </w:t>
      </w:r>
      <w:r w:rsidRPr="00360BAF">
        <w:rPr>
          <w:rFonts w:cs="Arial"/>
          <w:szCs w:val="24"/>
        </w:rPr>
        <w:t xml:space="preserve">NHS </w:t>
      </w:r>
      <w:r>
        <w:rPr>
          <w:rFonts w:cs="Arial"/>
          <w:szCs w:val="24"/>
        </w:rPr>
        <w:t>National Education for Scotland</w:t>
      </w:r>
      <w:r w:rsidRPr="00360BAF">
        <w:rPr>
          <w:rFonts w:cs="Arial"/>
          <w:szCs w:val="24"/>
        </w:rPr>
        <w:t xml:space="preserve">: </w:t>
      </w:r>
      <w:r>
        <w:rPr>
          <w:rFonts w:cs="Arial"/>
          <w:szCs w:val="24"/>
        </w:rPr>
        <w:t>D</w:t>
      </w:r>
      <w:r w:rsidR="00CE445E">
        <w:rPr>
          <w:rFonts w:cs="Arial"/>
          <w:szCs w:val="24"/>
        </w:rPr>
        <w:t>o</w:t>
      </w:r>
      <w:r>
        <w:rPr>
          <w:rFonts w:cs="Arial"/>
          <w:szCs w:val="24"/>
        </w:rPr>
        <w:t xml:space="preserve">C </w:t>
      </w:r>
      <w:r w:rsidRPr="00360BAF">
        <w:rPr>
          <w:rFonts w:cs="Arial"/>
          <w:szCs w:val="24"/>
        </w:rPr>
        <w:t xml:space="preserve">training module is available to all staff via </w:t>
      </w:r>
      <w:r>
        <w:rPr>
          <w:rFonts w:cs="Arial"/>
          <w:szCs w:val="24"/>
        </w:rPr>
        <w:t>NHSAA Learn Pro System with</w:t>
      </w:r>
      <w:r w:rsidRPr="00360BAF">
        <w:rPr>
          <w:rFonts w:cs="Arial"/>
          <w:szCs w:val="24"/>
        </w:rPr>
        <w:t xml:space="preserve"> guidance and supportive tools around providing a person centred apology and planning and preparing for subsequent discussions.  </w:t>
      </w:r>
      <w:r>
        <w:rPr>
          <w:rFonts w:cs="Arial"/>
          <w:szCs w:val="24"/>
        </w:rPr>
        <w:t>In addition, a</w:t>
      </w:r>
      <w:r w:rsidRPr="00360BAF">
        <w:rPr>
          <w:rFonts w:cs="Arial"/>
          <w:szCs w:val="24"/>
        </w:rPr>
        <w:t xml:space="preserve">ll staff who review and finally approve adverse events receive </w:t>
      </w:r>
      <w:r>
        <w:rPr>
          <w:rFonts w:cs="Arial"/>
          <w:szCs w:val="24"/>
        </w:rPr>
        <w:t xml:space="preserve">initial / refresher </w:t>
      </w:r>
      <w:r w:rsidRPr="00360BAF">
        <w:rPr>
          <w:rFonts w:cs="Arial"/>
          <w:szCs w:val="24"/>
        </w:rPr>
        <w:t>training on adverse event m</w:t>
      </w:r>
      <w:r>
        <w:rPr>
          <w:rFonts w:cs="Arial"/>
          <w:szCs w:val="24"/>
        </w:rPr>
        <w:t xml:space="preserve">anagement and the activation of </w:t>
      </w:r>
      <w:proofErr w:type="spellStart"/>
      <w:r>
        <w:rPr>
          <w:rFonts w:cs="Arial"/>
          <w:szCs w:val="24"/>
        </w:rPr>
        <w:t>D</w:t>
      </w:r>
      <w:r w:rsidR="00CE445E">
        <w:rPr>
          <w:rFonts w:cs="Arial"/>
          <w:szCs w:val="24"/>
        </w:rPr>
        <w:t>o</w:t>
      </w:r>
      <w:r>
        <w:rPr>
          <w:rFonts w:cs="Arial"/>
          <w:szCs w:val="24"/>
        </w:rPr>
        <w:t>C.</w:t>
      </w:r>
      <w:proofErr w:type="spellEnd"/>
      <w:r>
        <w:rPr>
          <w:rFonts w:cs="Arial"/>
          <w:szCs w:val="24"/>
        </w:rPr>
        <w:t xml:space="preserve"> </w:t>
      </w:r>
    </w:p>
    <w:p w14:paraId="09AB8776" w14:textId="77777777" w:rsidR="0072513C" w:rsidRPr="00F95DCD" w:rsidRDefault="0072513C" w:rsidP="0072513C">
      <w:pPr>
        <w:rPr>
          <w:rFonts w:cs="Arial"/>
        </w:rPr>
      </w:pPr>
    </w:p>
    <w:p w14:paraId="147875E3" w14:textId="0A08A0A1" w:rsidR="0072513C" w:rsidRPr="00696B23" w:rsidRDefault="0072513C" w:rsidP="0072513C">
      <w:pPr>
        <w:pBdr>
          <w:top w:val="single" w:sz="4" w:space="1" w:color="auto"/>
          <w:left w:val="single" w:sz="4" w:space="4" w:color="auto"/>
          <w:bottom w:val="single" w:sz="4" w:space="1" w:color="auto"/>
          <w:right w:val="single" w:sz="4" w:space="4" w:color="auto"/>
        </w:pBdr>
        <w:shd w:val="clear" w:color="auto" w:fill="DEEAF6" w:themeFill="accent1" w:themeFillTint="33"/>
        <w:rPr>
          <w:rStyle w:val="Strong"/>
        </w:rPr>
      </w:pPr>
      <w:r>
        <w:rPr>
          <w:rFonts w:cs="Arial"/>
          <w:b/>
          <w:szCs w:val="24"/>
        </w:rPr>
        <w:t>5</w:t>
      </w:r>
      <w:r w:rsidRPr="00696B23">
        <w:rPr>
          <w:rFonts w:cs="Arial"/>
          <w:b/>
          <w:szCs w:val="24"/>
        </w:rPr>
        <w:t>.</w:t>
      </w:r>
      <w:r w:rsidRPr="004C7189">
        <w:rPr>
          <w:rFonts w:cs="Arial"/>
          <w:b/>
          <w:color w:val="00B0F0"/>
          <w:szCs w:val="24"/>
        </w:rPr>
        <w:t xml:space="preserve">    </w:t>
      </w:r>
      <w:r>
        <w:rPr>
          <w:rFonts w:cs="Arial"/>
          <w:b/>
        </w:rPr>
        <w:t>Number and n</w:t>
      </w:r>
      <w:r w:rsidRPr="00696B23">
        <w:rPr>
          <w:rFonts w:cs="Arial"/>
          <w:b/>
        </w:rPr>
        <w:t xml:space="preserve">ature of </w:t>
      </w:r>
      <w:r>
        <w:rPr>
          <w:rFonts w:cs="Arial"/>
          <w:b/>
        </w:rPr>
        <w:t>D</w:t>
      </w:r>
      <w:r w:rsidR="00CE445E">
        <w:rPr>
          <w:rFonts w:cs="Arial"/>
          <w:b/>
        </w:rPr>
        <w:t>o</w:t>
      </w:r>
      <w:r>
        <w:rPr>
          <w:rFonts w:cs="Arial"/>
          <w:b/>
        </w:rPr>
        <w:t xml:space="preserve">C adverse events </w:t>
      </w:r>
    </w:p>
    <w:p w14:paraId="6C4F4BE5" w14:textId="77777777" w:rsidR="0072513C" w:rsidRPr="00696B23" w:rsidRDefault="0072513C" w:rsidP="0072513C">
      <w:pPr>
        <w:pStyle w:val="ListParagraph"/>
        <w:ind w:left="0"/>
        <w:rPr>
          <w:rStyle w:val="Strong"/>
        </w:rPr>
      </w:pPr>
    </w:p>
    <w:p w14:paraId="391F8681" w14:textId="54222B85" w:rsidR="0072513C" w:rsidRPr="00A400E3" w:rsidRDefault="0072513C" w:rsidP="0072513C">
      <w:pPr>
        <w:rPr>
          <w:rFonts w:cs="Arial"/>
        </w:rPr>
      </w:pPr>
      <w:r>
        <w:rPr>
          <w:rFonts w:cs="Arial"/>
        </w:rPr>
        <w:t>At the time of writing this report on 27 June 2025, o</w:t>
      </w:r>
      <w:r w:rsidR="006F4270">
        <w:rPr>
          <w:rFonts w:cs="Arial"/>
        </w:rPr>
        <w:t>f the 9633</w:t>
      </w:r>
      <w:r>
        <w:rPr>
          <w:rFonts w:cs="Arial"/>
        </w:rPr>
        <w:t xml:space="preserve"> reported adverse events from </w:t>
      </w:r>
      <w:r w:rsidRPr="00696B23">
        <w:rPr>
          <w:rFonts w:cs="Arial"/>
          <w:szCs w:val="24"/>
        </w:rPr>
        <w:t>1 A</w:t>
      </w:r>
      <w:r>
        <w:rPr>
          <w:rFonts w:cs="Arial"/>
          <w:szCs w:val="24"/>
        </w:rPr>
        <w:t xml:space="preserve">pril 2024 until 31 March 2025, 425 </w:t>
      </w:r>
      <w:r w:rsidRPr="00696B23">
        <w:rPr>
          <w:rFonts w:cs="Arial"/>
        </w:rPr>
        <w:t xml:space="preserve">patient / service user adverse events were escalated for consideration of </w:t>
      </w:r>
      <w:r>
        <w:rPr>
          <w:rFonts w:cs="Arial"/>
        </w:rPr>
        <w:t>D</w:t>
      </w:r>
      <w:r w:rsidR="00CE445E">
        <w:rPr>
          <w:rFonts w:cs="Arial"/>
        </w:rPr>
        <w:t>o</w:t>
      </w:r>
      <w:r>
        <w:rPr>
          <w:rFonts w:cs="Arial"/>
        </w:rPr>
        <w:t xml:space="preserve">C </w:t>
      </w:r>
      <w:r w:rsidRPr="00696B23">
        <w:rPr>
          <w:rFonts w:cs="Arial"/>
          <w:szCs w:val="24"/>
        </w:rPr>
        <w:t xml:space="preserve">through </w:t>
      </w:r>
      <w:r w:rsidR="00CE445E">
        <w:rPr>
          <w:rFonts w:cs="Arial"/>
          <w:szCs w:val="24"/>
        </w:rPr>
        <w:t>the</w:t>
      </w:r>
      <w:r w:rsidRPr="00696B23">
        <w:rPr>
          <w:rFonts w:cs="Arial"/>
          <w:szCs w:val="24"/>
        </w:rPr>
        <w:t xml:space="preserve"> adverse event management process</w:t>
      </w:r>
      <w:r>
        <w:rPr>
          <w:rFonts w:cs="Arial"/>
          <w:szCs w:val="24"/>
        </w:rPr>
        <w:t xml:space="preserve"> (as detailed in section 2).  93 events (1</w:t>
      </w:r>
      <w:r w:rsidRPr="00696B23">
        <w:rPr>
          <w:rFonts w:cs="Arial"/>
          <w:szCs w:val="24"/>
        </w:rPr>
        <w:t xml:space="preserve">% of total number of reported adverse events) were reviewed by the relevant Directorate </w:t>
      </w:r>
      <w:r>
        <w:rPr>
          <w:rFonts w:cs="Arial"/>
          <w:szCs w:val="24"/>
        </w:rPr>
        <w:t>AERG</w:t>
      </w:r>
      <w:r w:rsidRPr="00696B23">
        <w:rPr>
          <w:rFonts w:cs="Arial"/>
          <w:szCs w:val="24"/>
        </w:rPr>
        <w:t xml:space="preserve"> </w:t>
      </w:r>
      <w:r>
        <w:rPr>
          <w:rFonts w:cs="Arial"/>
          <w:szCs w:val="24"/>
        </w:rPr>
        <w:t>and D</w:t>
      </w:r>
      <w:r w:rsidR="00CE445E">
        <w:rPr>
          <w:rFonts w:cs="Arial"/>
          <w:szCs w:val="24"/>
        </w:rPr>
        <w:t>o</w:t>
      </w:r>
      <w:r>
        <w:rPr>
          <w:rFonts w:cs="Arial"/>
          <w:szCs w:val="24"/>
        </w:rPr>
        <w:t xml:space="preserve">C activated.  </w:t>
      </w:r>
      <w:r w:rsidRPr="00A400E3">
        <w:rPr>
          <w:rFonts w:cs="Arial"/>
        </w:rPr>
        <w:t>Within NHSAA, a s</w:t>
      </w:r>
      <w:r>
        <w:rPr>
          <w:rFonts w:cs="Arial"/>
        </w:rPr>
        <w:t>eparate adverse event is reported for each patient event therefore 93 patients have been affected (unless the same patient has been affected more than once).</w:t>
      </w:r>
      <w:r w:rsidRPr="00A400E3">
        <w:rPr>
          <w:rFonts w:cs="Arial"/>
        </w:rPr>
        <w:t xml:space="preserve"> </w:t>
      </w:r>
    </w:p>
    <w:p w14:paraId="0977D583" w14:textId="77777777" w:rsidR="0072513C" w:rsidRDefault="0072513C" w:rsidP="0072513C">
      <w:pPr>
        <w:pStyle w:val="ListParagraph"/>
        <w:ind w:left="0"/>
        <w:rPr>
          <w:rFonts w:cs="Arial"/>
          <w:color w:val="00B0F0"/>
          <w:szCs w:val="24"/>
        </w:rPr>
      </w:pPr>
    </w:p>
    <w:p w14:paraId="5546C37A" w14:textId="77777777" w:rsidR="0072513C" w:rsidRDefault="0072513C" w:rsidP="0072513C">
      <w:pPr>
        <w:pStyle w:val="ListParagraph"/>
        <w:ind w:left="0"/>
        <w:rPr>
          <w:rFonts w:cs="Arial"/>
          <w:szCs w:val="24"/>
        </w:rPr>
      </w:pPr>
      <w:r w:rsidRPr="00D20C4A">
        <w:rPr>
          <w:rFonts w:cs="Arial"/>
          <w:szCs w:val="24"/>
        </w:rPr>
        <w:t>7</w:t>
      </w:r>
      <w:r>
        <w:rPr>
          <w:rFonts w:cs="Arial"/>
          <w:szCs w:val="24"/>
        </w:rPr>
        <w:t>6</w:t>
      </w:r>
      <w:r w:rsidRPr="00D20C4A">
        <w:rPr>
          <w:rFonts w:cs="Arial"/>
          <w:szCs w:val="24"/>
        </w:rPr>
        <w:t xml:space="preserve"> </w:t>
      </w:r>
      <w:r w:rsidRPr="00696B23">
        <w:rPr>
          <w:rFonts w:cs="Arial"/>
          <w:szCs w:val="24"/>
        </w:rPr>
        <w:t xml:space="preserve">events resulted in the commissioning of a </w:t>
      </w:r>
      <w:r>
        <w:rPr>
          <w:rFonts w:cs="Arial"/>
          <w:szCs w:val="24"/>
        </w:rPr>
        <w:t xml:space="preserve">LMTR and 17 </w:t>
      </w:r>
      <w:r w:rsidRPr="00696B23">
        <w:rPr>
          <w:rFonts w:cs="Arial"/>
          <w:szCs w:val="24"/>
        </w:rPr>
        <w:t xml:space="preserve">events resulted in the commissioning of a </w:t>
      </w:r>
      <w:r>
        <w:rPr>
          <w:rFonts w:cs="Arial"/>
          <w:szCs w:val="24"/>
        </w:rPr>
        <w:t>SAER</w:t>
      </w:r>
      <w:r w:rsidRPr="00696B23">
        <w:rPr>
          <w:rFonts w:cs="Arial"/>
          <w:szCs w:val="24"/>
        </w:rPr>
        <w:t xml:space="preserve">.  </w:t>
      </w:r>
    </w:p>
    <w:p w14:paraId="16C604B3" w14:textId="77777777" w:rsidR="0072513C" w:rsidRDefault="0072513C" w:rsidP="0072513C">
      <w:pPr>
        <w:pStyle w:val="ListParagraph"/>
        <w:ind w:left="0"/>
        <w:rPr>
          <w:rFonts w:cs="Arial"/>
          <w:szCs w:val="24"/>
        </w:rPr>
      </w:pPr>
    </w:p>
    <w:p w14:paraId="45AF17A6" w14:textId="77777777" w:rsidR="0072513C" w:rsidRPr="00A400E3" w:rsidRDefault="0072513C" w:rsidP="0072513C">
      <w:pPr>
        <w:rPr>
          <w:rFonts w:cs="Arial"/>
        </w:rPr>
      </w:pPr>
      <w:r w:rsidRPr="00A400E3">
        <w:rPr>
          <w:rFonts w:cs="Arial"/>
        </w:rPr>
        <w:t xml:space="preserve">There have been no large-scale </w:t>
      </w:r>
      <w:r>
        <w:rPr>
          <w:rFonts w:cs="Arial"/>
        </w:rPr>
        <w:t>adverse events (one event which resulted in multiple patient’s being affected) reported during this time frame</w:t>
      </w:r>
      <w:r w:rsidRPr="00A400E3">
        <w:rPr>
          <w:rFonts w:cs="Arial"/>
        </w:rPr>
        <w:t xml:space="preserve">. </w:t>
      </w:r>
    </w:p>
    <w:p w14:paraId="692B263A" w14:textId="77777777" w:rsidR="0072513C" w:rsidRDefault="0072513C" w:rsidP="0072513C">
      <w:pPr>
        <w:pStyle w:val="ListParagraph"/>
        <w:ind w:left="0"/>
        <w:rPr>
          <w:rFonts w:cs="Arial"/>
          <w:szCs w:val="24"/>
        </w:rPr>
      </w:pPr>
    </w:p>
    <w:p w14:paraId="376660A1" w14:textId="3357C305" w:rsidR="0072513C" w:rsidRPr="00696B23" w:rsidRDefault="0072513C" w:rsidP="0072513C">
      <w:pPr>
        <w:pStyle w:val="ListParagraph"/>
        <w:ind w:left="0"/>
        <w:rPr>
          <w:rFonts w:cs="Arial"/>
          <w:szCs w:val="24"/>
        </w:rPr>
      </w:pPr>
      <w:r w:rsidRPr="00C613E9">
        <w:rPr>
          <w:rFonts w:cs="Arial"/>
          <w:b/>
          <w:szCs w:val="24"/>
        </w:rPr>
        <w:t>Table 1</w:t>
      </w:r>
      <w:r w:rsidRPr="00696B23">
        <w:rPr>
          <w:rFonts w:cs="Arial"/>
          <w:szCs w:val="24"/>
        </w:rPr>
        <w:t xml:space="preserve"> below provides a breakdown of the number and natur</w:t>
      </w:r>
      <w:r>
        <w:rPr>
          <w:rFonts w:cs="Arial"/>
          <w:szCs w:val="24"/>
        </w:rPr>
        <w:t>e of D</w:t>
      </w:r>
      <w:r w:rsidR="00CE445E">
        <w:rPr>
          <w:rFonts w:cs="Arial"/>
          <w:szCs w:val="24"/>
        </w:rPr>
        <w:t>o</w:t>
      </w:r>
      <w:r>
        <w:rPr>
          <w:rFonts w:cs="Arial"/>
          <w:szCs w:val="24"/>
        </w:rPr>
        <w:t>C adverse events</w:t>
      </w:r>
      <w:r w:rsidRPr="00696B23">
        <w:rPr>
          <w:rFonts w:cs="Arial"/>
          <w:szCs w:val="24"/>
        </w:rPr>
        <w:t>:-</w:t>
      </w:r>
    </w:p>
    <w:tbl>
      <w:tblPr>
        <w:tblStyle w:val="TableGrid"/>
        <w:tblW w:w="9776" w:type="dxa"/>
        <w:tblLayout w:type="fixed"/>
        <w:tblLook w:val="04A0" w:firstRow="1" w:lastRow="0" w:firstColumn="1" w:lastColumn="0" w:noHBand="0" w:noVBand="1"/>
      </w:tblPr>
      <w:tblGrid>
        <w:gridCol w:w="7792"/>
        <w:gridCol w:w="1984"/>
      </w:tblGrid>
      <w:tr w:rsidR="0072513C" w:rsidRPr="004C7189" w14:paraId="68624509" w14:textId="77777777" w:rsidTr="00895039">
        <w:tc>
          <w:tcPr>
            <w:tcW w:w="7792" w:type="dxa"/>
            <w:shd w:val="clear" w:color="auto" w:fill="9CC2E5" w:themeFill="accent1" w:themeFillTint="99"/>
          </w:tcPr>
          <w:p w14:paraId="6D95C6FE" w14:textId="262EC926" w:rsidR="0072513C" w:rsidRPr="002A2B4F" w:rsidRDefault="0072513C" w:rsidP="00895039">
            <w:pPr>
              <w:rPr>
                <w:rFonts w:cs="Arial"/>
                <w:b/>
              </w:rPr>
            </w:pPr>
            <w:r w:rsidRPr="002A2B4F">
              <w:rPr>
                <w:rFonts w:cs="Arial"/>
                <w:b/>
              </w:rPr>
              <w:t>Nature of un</w:t>
            </w:r>
            <w:r>
              <w:rPr>
                <w:rFonts w:cs="Arial"/>
                <w:b/>
              </w:rPr>
              <w:t>expected or unintended adverse event where</w:t>
            </w:r>
            <w:r w:rsidRPr="002A2B4F">
              <w:rPr>
                <w:rFonts w:cs="Arial"/>
                <w:b/>
              </w:rPr>
              <w:t xml:space="preserve"> </w:t>
            </w:r>
            <w:r>
              <w:rPr>
                <w:rFonts w:cs="Arial"/>
                <w:b/>
              </w:rPr>
              <w:t>D</w:t>
            </w:r>
            <w:r w:rsidR="00BE4E89">
              <w:rPr>
                <w:rFonts w:cs="Arial"/>
                <w:b/>
              </w:rPr>
              <w:t>o</w:t>
            </w:r>
            <w:r>
              <w:rPr>
                <w:rFonts w:cs="Arial"/>
                <w:b/>
              </w:rPr>
              <w:t xml:space="preserve">C </w:t>
            </w:r>
            <w:r w:rsidRPr="002A2B4F">
              <w:rPr>
                <w:rFonts w:cs="Arial"/>
                <w:b/>
              </w:rPr>
              <w:t>was applicable</w:t>
            </w:r>
          </w:p>
        </w:tc>
        <w:tc>
          <w:tcPr>
            <w:tcW w:w="1984" w:type="dxa"/>
            <w:shd w:val="clear" w:color="auto" w:fill="9CC2E5" w:themeFill="accent1" w:themeFillTint="99"/>
          </w:tcPr>
          <w:p w14:paraId="25FFFB8E" w14:textId="77777777" w:rsidR="0072513C" w:rsidRPr="002A2B4F" w:rsidRDefault="0072513C" w:rsidP="00895039">
            <w:pPr>
              <w:jc w:val="center"/>
              <w:rPr>
                <w:rFonts w:cs="Arial"/>
                <w:b/>
              </w:rPr>
            </w:pPr>
            <w:r w:rsidRPr="002A2B4F">
              <w:rPr>
                <w:rFonts w:cs="Arial"/>
                <w:b/>
              </w:rPr>
              <w:t>Number</w:t>
            </w:r>
          </w:p>
        </w:tc>
      </w:tr>
      <w:tr w:rsidR="0072513C" w:rsidRPr="004C7189" w14:paraId="1F7556E9" w14:textId="77777777" w:rsidTr="00895039">
        <w:tc>
          <w:tcPr>
            <w:tcW w:w="7792" w:type="dxa"/>
          </w:tcPr>
          <w:p w14:paraId="1CFF4AEE" w14:textId="77777777" w:rsidR="0072513C" w:rsidRPr="004C7189" w:rsidRDefault="0072513C" w:rsidP="00895039">
            <w:pPr>
              <w:rPr>
                <w:rFonts w:cs="Arial"/>
                <w:color w:val="00B0F0"/>
              </w:rPr>
            </w:pPr>
            <w:r w:rsidRPr="002A2B4F">
              <w:rPr>
                <w:rFonts w:cs="Arial"/>
              </w:rPr>
              <w:t>Death of the person</w:t>
            </w:r>
          </w:p>
        </w:tc>
        <w:tc>
          <w:tcPr>
            <w:tcW w:w="1984" w:type="dxa"/>
          </w:tcPr>
          <w:p w14:paraId="08EA4C14" w14:textId="77777777" w:rsidR="0072513C" w:rsidRPr="000B79DF" w:rsidRDefault="0072513C" w:rsidP="00895039">
            <w:pPr>
              <w:jc w:val="center"/>
              <w:rPr>
                <w:rFonts w:cs="Arial"/>
              </w:rPr>
            </w:pPr>
            <w:r>
              <w:rPr>
                <w:rFonts w:cs="Arial"/>
              </w:rPr>
              <w:t>8</w:t>
            </w:r>
          </w:p>
        </w:tc>
      </w:tr>
      <w:tr w:rsidR="0072513C" w:rsidRPr="004C7189" w14:paraId="4F145B90" w14:textId="77777777" w:rsidTr="00895039">
        <w:tc>
          <w:tcPr>
            <w:tcW w:w="7792" w:type="dxa"/>
          </w:tcPr>
          <w:p w14:paraId="7393F299" w14:textId="77777777" w:rsidR="0072513C" w:rsidRPr="004C7189" w:rsidRDefault="0072513C" w:rsidP="00895039">
            <w:pPr>
              <w:rPr>
                <w:rFonts w:cs="Arial"/>
                <w:color w:val="00B0F0"/>
              </w:rPr>
            </w:pPr>
            <w:r w:rsidRPr="002A2B4F">
              <w:rPr>
                <w:rFonts w:cs="Arial"/>
              </w:rPr>
              <w:t>A permanent lessening of bodil</w:t>
            </w:r>
            <w:r>
              <w:rPr>
                <w:rFonts w:cs="Arial"/>
              </w:rPr>
              <w:t>y, sensory, motor, physiologic</w:t>
            </w:r>
            <w:r w:rsidRPr="002A2B4F">
              <w:rPr>
                <w:rFonts w:cs="Arial"/>
              </w:rPr>
              <w:t xml:space="preserve"> or intellectual functions</w:t>
            </w:r>
          </w:p>
        </w:tc>
        <w:tc>
          <w:tcPr>
            <w:tcW w:w="1984" w:type="dxa"/>
          </w:tcPr>
          <w:p w14:paraId="0DCEBC24" w14:textId="77777777" w:rsidR="0072513C" w:rsidRPr="000B79DF" w:rsidRDefault="0072513C" w:rsidP="00895039">
            <w:pPr>
              <w:jc w:val="center"/>
              <w:rPr>
                <w:rFonts w:cs="Arial"/>
              </w:rPr>
            </w:pPr>
            <w:r w:rsidRPr="000B79DF">
              <w:rPr>
                <w:rFonts w:cs="Arial"/>
              </w:rPr>
              <w:t>0</w:t>
            </w:r>
          </w:p>
        </w:tc>
      </w:tr>
      <w:tr w:rsidR="0072513C" w:rsidRPr="004C7189" w14:paraId="1604B37D" w14:textId="77777777" w:rsidTr="00895039">
        <w:tc>
          <w:tcPr>
            <w:tcW w:w="9776" w:type="dxa"/>
            <w:gridSpan w:val="2"/>
            <w:shd w:val="clear" w:color="auto" w:fill="9CC2E5" w:themeFill="accent1" w:themeFillTint="99"/>
          </w:tcPr>
          <w:p w14:paraId="5B097CC7" w14:textId="77777777" w:rsidR="0072513C" w:rsidRPr="000B79DF" w:rsidRDefault="0072513C" w:rsidP="00895039">
            <w:pPr>
              <w:rPr>
                <w:rFonts w:cs="Arial"/>
                <w:b/>
              </w:rPr>
            </w:pPr>
            <w:r w:rsidRPr="000B79DF">
              <w:rPr>
                <w:rFonts w:cs="Arial"/>
                <w:b/>
              </w:rPr>
              <w:t>Harm which is not severe harm but results or could have resulted in:</w:t>
            </w:r>
          </w:p>
        </w:tc>
      </w:tr>
      <w:tr w:rsidR="0072513C" w:rsidRPr="004C7189" w14:paraId="03A9F7B2" w14:textId="77777777" w:rsidTr="00895039">
        <w:tc>
          <w:tcPr>
            <w:tcW w:w="7792" w:type="dxa"/>
          </w:tcPr>
          <w:p w14:paraId="4D668A0B" w14:textId="77777777" w:rsidR="0072513C" w:rsidRPr="002A2B4F" w:rsidRDefault="0072513C" w:rsidP="00895039">
            <w:pPr>
              <w:rPr>
                <w:rFonts w:cs="Arial"/>
              </w:rPr>
            </w:pPr>
            <w:r w:rsidRPr="002A2B4F">
              <w:rPr>
                <w:rFonts w:cs="Arial"/>
              </w:rPr>
              <w:t>An increase in the person’s treatment</w:t>
            </w:r>
          </w:p>
        </w:tc>
        <w:tc>
          <w:tcPr>
            <w:tcW w:w="1984" w:type="dxa"/>
          </w:tcPr>
          <w:p w14:paraId="71CA9458" w14:textId="77777777" w:rsidR="0072513C" w:rsidRPr="000B79DF" w:rsidRDefault="0072513C" w:rsidP="00895039">
            <w:pPr>
              <w:jc w:val="center"/>
              <w:rPr>
                <w:rFonts w:cs="Arial"/>
              </w:rPr>
            </w:pPr>
            <w:r>
              <w:rPr>
                <w:rFonts w:cs="Arial"/>
              </w:rPr>
              <w:t>11</w:t>
            </w:r>
          </w:p>
        </w:tc>
      </w:tr>
      <w:tr w:rsidR="0072513C" w:rsidRPr="004C7189" w14:paraId="7714EDC5" w14:textId="77777777" w:rsidTr="00895039">
        <w:tc>
          <w:tcPr>
            <w:tcW w:w="7792" w:type="dxa"/>
          </w:tcPr>
          <w:p w14:paraId="2A9027BB" w14:textId="77777777" w:rsidR="0072513C" w:rsidRPr="004C7189" w:rsidRDefault="0072513C" w:rsidP="00895039">
            <w:pPr>
              <w:rPr>
                <w:rFonts w:cs="Arial"/>
                <w:color w:val="00B0F0"/>
              </w:rPr>
            </w:pPr>
            <w:r w:rsidRPr="002A2B4F">
              <w:rPr>
                <w:rFonts w:cs="Arial"/>
              </w:rPr>
              <w:t>Changes to the structure of the person’s body</w:t>
            </w:r>
          </w:p>
        </w:tc>
        <w:tc>
          <w:tcPr>
            <w:tcW w:w="1984" w:type="dxa"/>
          </w:tcPr>
          <w:p w14:paraId="7750F005" w14:textId="77777777" w:rsidR="0072513C" w:rsidRPr="000B79DF" w:rsidRDefault="0072513C" w:rsidP="00895039">
            <w:pPr>
              <w:jc w:val="center"/>
              <w:rPr>
                <w:rFonts w:cs="Arial"/>
              </w:rPr>
            </w:pPr>
            <w:r w:rsidRPr="000B79DF">
              <w:rPr>
                <w:rFonts w:cs="Arial"/>
              </w:rPr>
              <w:t>1</w:t>
            </w:r>
          </w:p>
        </w:tc>
      </w:tr>
      <w:tr w:rsidR="0072513C" w:rsidRPr="004C7189" w14:paraId="2090B774" w14:textId="77777777" w:rsidTr="00895039">
        <w:tc>
          <w:tcPr>
            <w:tcW w:w="7792" w:type="dxa"/>
          </w:tcPr>
          <w:p w14:paraId="78F28571" w14:textId="77777777" w:rsidR="0072513C" w:rsidRPr="004C7189" w:rsidRDefault="0072513C" w:rsidP="00895039">
            <w:pPr>
              <w:rPr>
                <w:rFonts w:cs="Arial"/>
                <w:color w:val="00B0F0"/>
              </w:rPr>
            </w:pPr>
            <w:r w:rsidRPr="002A2B4F">
              <w:rPr>
                <w:rFonts w:cs="Arial"/>
              </w:rPr>
              <w:t>The shortening of the life expectancy of the person</w:t>
            </w:r>
          </w:p>
        </w:tc>
        <w:tc>
          <w:tcPr>
            <w:tcW w:w="1984" w:type="dxa"/>
          </w:tcPr>
          <w:p w14:paraId="0AF62907" w14:textId="77777777" w:rsidR="0072513C" w:rsidRPr="000B79DF" w:rsidRDefault="0072513C" w:rsidP="00895039">
            <w:pPr>
              <w:jc w:val="center"/>
              <w:rPr>
                <w:rFonts w:cs="Arial"/>
              </w:rPr>
            </w:pPr>
            <w:r>
              <w:rPr>
                <w:rFonts w:cs="Arial"/>
              </w:rPr>
              <w:t>2</w:t>
            </w:r>
          </w:p>
        </w:tc>
      </w:tr>
      <w:tr w:rsidR="0072513C" w:rsidRPr="004C7189" w14:paraId="64606EA7" w14:textId="77777777" w:rsidTr="00895039">
        <w:trPr>
          <w:trHeight w:val="692"/>
        </w:trPr>
        <w:tc>
          <w:tcPr>
            <w:tcW w:w="7792" w:type="dxa"/>
          </w:tcPr>
          <w:p w14:paraId="6ADAA2AC" w14:textId="77777777" w:rsidR="0072513C" w:rsidRPr="004C7189" w:rsidRDefault="0072513C" w:rsidP="00895039">
            <w:pPr>
              <w:rPr>
                <w:rFonts w:cs="Arial"/>
                <w:color w:val="00B0F0"/>
              </w:rPr>
            </w:pPr>
            <w:r w:rsidRPr="002A2B4F">
              <w:rPr>
                <w:rFonts w:cs="Arial"/>
              </w:rPr>
              <w:lastRenderedPageBreak/>
              <w:t>An impairment of the sensory, motor or intellectual functions of the person which has lasted, or is likely to last, for a continuous period of at least 28 days</w:t>
            </w:r>
          </w:p>
        </w:tc>
        <w:tc>
          <w:tcPr>
            <w:tcW w:w="1984" w:type="dxa"/>
          </w:tcPr>
          <w:p w14:paraId="609F8FE7" w14:textId="77777777" w:rsidR="0072513C" w:rsidRPr="000B79DF" w:rsidRDefault="0072513C" w:rsidP="00895039">
            <w:pPr>
              <w:jc w:val="center"/>
              <w:rPr>
                <w:rFonts w:cs="Arial"/>
              </w:rPr>
            </w:pPr>
            <w:r w:rsidRPr="000B79DF">
              <w:rPr>
                <w:rFonts w:cs="Arial"/>
              </w:rPr>
              <w:t>1</w:t>
            </w:r>
          </w:p>
        </w:tc>
      </w:tr>
      <w:tr w:rsidR="0072513C" w:rsidRPr="002A2B4F" w14:paraId="60DD2BEE" w14:textId="77777777" w:rsidTr="00895039">
        <w:tc>
          <w:tcPr>
            <w:tcW w:w="7792" w:type="dxa"/>
          </w:tcPr>
          <w:p w14:paraId="6281DF6C" w14:textId="77777777" w:rsidR="0072513C" w:rsidRPr="002A2B4F" w:rsidRDefault="0072513C" w:rsidP="00895039">
            <w:pPr>
              <w:rPr>
                <w:rFonts w:cs="Arial"/>
              </w:rPr>
            </w:pPr>
            <w:r w:rsidRPr="002A2B4F">
              <w:rPr>
                <w:rFonts w:cs="Arial"/>
              </w:rPr>
              <w:t>The person experiencing pain or psychological harm which has been, or is likely to be, experienced by the person for a continuous period of at least 28 days.</w:t>
            </w:r>
          </w:p>
        </w:tc>
        <w:tc>
          <w:tcPr>
            <w:tcW w:w="1984" w:type="dxa"/>
          </w:tcPr>
          <w:p w14:paraId="2B651B83" w14:textId="3A7929E5" w:rsidR="0072513C" w:rsidRPr="002A2B4F" w:rsidRDefault="002003E5" w:rsidP="00895039">
            <w:pPr>
              <w:jc w:val="center"/>
              <w:rPr>
                <w:rFonts w:cs="Arial"/>
              </w:rPr>
            </w:pPr>
            <w:r>
              <w:rPr>
                <w:rFonts w:cs="Arial"/>
              </w:rPr>
              <w:t>69</w:t>
            </w:r>
          </w:p>
        </w:tc>
      </w:tr>
      <w:tr w:rsidR="0072513C" w:rsidRPr="004C7189" w14:paraId="13112E20" w14:textId="77777777" w:rsidTr="00895039">
        <w:tc>
          <w:tcPr>
            <w:tcW w:w="9776" w:type="dxa"/>
            <w:gridSpan w:val="2"/>
            <w:shd w:val="clear" w:color="auto" w:fill="9CC2E5" w:themeFill="accent1" w:themeFillTint="99"/>
          </w:tcPr>
          <w:p w14:paraId="771245EB" w14:textId="77777777" w:rsidR="0072513C" w:rsidRPr="004C7189" w:rsidRDefault="0072513C" w:rsidP="00895039">
            <w:pPr>
              <w:rPr>
                <w:rFonts w:cs="Arial"/>
                <w:b/>
                <w:color w:val="00B0F0"/>
              </w:rPr>
            </w:pPr>
            <w:r w:rsidRPr="002A2B4F">
              <w:rPr>
                <w:rFonts w:cs="Arial"/>
                <w:b/>
              </w:rPr>
              <w:t>The person required treatment by a registered health professional in order to prevent:</w:t>
            </w:r>
          </w:p>
        </w:tc>
      </w:tr>
      <w:tr w:rsidR="0072513C" w:rsidRPr="002A2B4F" w14:paraId="3BB1BAAD" w14:textId="77777777" w:rsidTr="00895039">
        <w:tc>
          <w:tcPr>
            <w:tcW w:w="7792" w:type="dxa"/>
          </w:tcPr>
          <w:p w14:paraId="15234EE1" w14:textId="77777777" w:rsidR="0072513C" w:rsidRPr="002A2B4F" w:rsidRDefault="0072513C" w:rsidP="00895039">
            <w:pPr>
              <w:rPr>
                <w:rFonts w:cs="Arial"/>
              </w:rPr>
            </w:pPr>
            <w:r w:rsidRPr="002A2B4F">
              <w:rPr>
                <w:rFonts w:cs="Arial"/>
              </w:rPr>
              <w:t>The death of the person</w:t>
            </w:r>
          </w:p>
        </w:tc>
        <w:tc>
          <w:tcPr>
            <w:tcW w:w="1984" w:type="dxa"/>
          </w:tcPr>
          <w:p w14:paraId="0695CBA2" w14:textId="77777777" w:rsidR="0072513C" w:rsidRPr="002A2B4F" w:rsidRDefault="0072513C" w:rsidP="00895039">
            <w:pPr>
              <w:jc w:val="center"/>
              <w:rPr>
                <w:rFonts w:cs="Arial"/>
              </w:rPr>
            </w:pPr>
            <w:r>
              <w:rPr>
                <w:rFonts w:cs="Arial"/>
              </w:rPr>
              <w:t>1</w:t>
            </w:r>
          </w:p>
        </w:tc>
      </w:tr>
      <w:tr w:rsidR="0072513C" w:rsidRPr="002A2B4F" w14:paraId="45091DE4" w14:textId="77777777" w:rsidTr="00895039">
        <w:tc>
          <w:tcPr>
            <w:tcW w:w="7792" w:type="dxa"/>
          </w:tcPr>
          <w:p w14:paraId="2C535ADC" w14:textId="77777777" w:rsidR="0072513C" w:rsidRPr="002A2B4F" w:rsidRDefault="0072513C" w:rsidP="00895039">
            <w:pPr>
              <w:rPr>
                <w:rFonts w:cs="Arial"/>
              </w:rPr>
            </w:pPr>
            <w:r w:rsidRPr="002A2B4F">
              <w:rPr>
                <w:rFonts w:cs="Arial"/>
              </w:rPr>
              <w:t>An injury to the person which, if left untreated, would lead to one or more of the outcomes mentioned above.</w:t>
            </w:r>
          </w:p>
        </w:tc>
        <w:tc>
          <w:tcPr>
            <w:tcW w:w="1984" w:type="dxa"/>
          </w:tcPr>
          <w:p w14:paraId="14D185DD" w14:textId="77777777" w:rsidR="0072513C" w:rsidRPr="002A2B4F" w:rsidRDefault="0072513C" w:rsidP="00895039">
            <w:pPr>
              <w:jc w:val="center"/>
              <w:rPr>
                <w:rFonts w:cs="Arial"/>
              </w:rPr>
            </w:pPr>
            <w:r>
              <w:rPr>
                <w:rFonts w:cs="Arial"/>
              </w:rPr>
              <w:t>0</w:t>
            </w:r>
          </w:p>
        </w:tc>
      </w:tr>
      <w:tr w:rsidR="0072513C" w:rsidRPr="002A2B4F" w14:paraId="7CCF75E9" w14:textId="77777777" w:rsidTr="00895039">
        <w:tc>
          <w:tcPr>
            <w:tcW w:w="7792" w:type="dxa"/>
            <w:shd w:val="clear" w:color="auto" w:fill="9CC2E5" w:themeFill="accent1" w:themeFillTint="99"/>
          </w:tcPr>
          <w:p w14:paraId="09CC8CEC" w14:textId="77777777" w:rsidR="0072513C" w:rsidRDefault="0072513C" w:rsidP="00895039">
            <w:pPr>
              <w:rPr>
                <w:rFonts w:cs="Arial"/>
                <w:b/>
              </w:rPr>
            </w:pPr>
            <w:r w:rsidRPr="002A2B4F">
              <w:rPr>
                <w:rFonts w:cs="Arial"/>
                <w:b/>
              </w:rPr>
              <w:t>Total</w:t>
            </w:r>
          </w:p>
          <w:p w14:paraId="0746EC17" w14:textId="77777777" w:rsidR="0072513C" w:rsidRPr="002A2B4F" w:rsidRDefault="0072513C" w:rsidP="00895039">
            <w:pPr>
              <w:rPr>
                <w:rFonts w:cs="Arial"/>
                <w:b/>
              </w:rPr>
            </w:pPr>
          </w:p>
        </w:tc>
        <w:tc>
          <w:tcPr>
            <w:tcW w:w="1984" w:type="dxa"/>
            <w:shd w:val="clear" w:color="auto" w:fill="9CC2E5" w:themeFill="accent1" w:themeFillTint="99"/>
          </w:tcPr>
          <w:p w14:paraId="46DBE43B" w14:textId="77777777" w:rsidR="0072513C" w:rsidRPr="002A2B4F" w:rsidRDefault="0072513C" w:rsidP="00895039">
            <w:pPr>
              <w:jc w:val="center"/>
              <w:rPr>
                <w:rFonts w:cs="Arial"/>
                <w:b/>
              </w:rPr>
            </w:pPr>
            <w:r>
              <w:rPr>
                <w:rFonts w:cs="Arial"/>
                <w:b/>
              </w:rPr>
              <w:t>93</w:t>
            </w:r>
          </w:p>
        </w:tc>
      </w:tr>
    </w:tbl>
    <w:p w14:paraId="3DEB5A9D" w14:textId="2818F281" w:rsidR="0072513C" w:rsidRPr="00E95075" w:rsidRDefault="0072513C" w:rsidP="0072513C">
      <w:pPr>
        <w:pStyle w:val="ListParagraph"/>
        <w:ind w:left="0"/>
        <w:jc w:val="right"/>
        <w:rPr>
          <w:rFonts w:cs="Arial"/>
          <w:b/>
          <w:sz w:val="22"/>
          <w:szCs w:val="22"/>
        </w:rPr>
      </w:pPr>
      <w:r>
        <w:rPr>
          <w:rFonts w:cs="Arial"/>
          <w:b/>
          <w:sz w:val="22"/>
          <w:szCs w:val="22"/>
        </w:rPr>
        <w:t>Table 1: Number and n</w:t>
      </w:r>
      <w:r w:rsidRPr="00E95075">
        <w:rPr>
          <w:rFonts w:cs="Arial"/>
          <w:b/>
          <w:sz w:val="22"/>
          <w:szCs w:val="22"/>
        </w:rPr>
        <w:t>ature of D</w:t>
      </w:r>
      <w:r w:rsidR="00BE4E89">
        <w:rPr>
          <w:rFonts w:cs="Arial"/>
          <w:b/>
          <w:sz w:val="22"/>
          <w:szCs w:val="22"/>
        </w:rPr>
        <w:t>o</w:t>
      </w:r>
      <w:r w:rsidRPr="00E95075">
        <w:rPr>
          <w:rFonts w:cs="Arial"/>
          <w:b/>
          <w:sz w:val="22"/>
          <w:szCs w:val="22"/>
        </w:rPr>
        <w:t>C adverse events 1 April 2024 – 31 March 2025</w:t>
      </w:r>
    </w:p>
    <w:p w14:paraId="09001354" w14:textId="77777777" w:rsidR="0072513C" w:rsidRDefault="0072513C" w:rsidP="0072513C">
      <w:pPr>
        <w:rPr>
          <w:rFonts w:cs="Arial"/>
          <w:color w:val="00B0F0"/>
        </w:rPr>
      </w:pPr>
    </w:p>
    <w:p w14:paraId="62F22C45" w14:textId="0B19154D" w:rsidR="0072513C" w:rsidRDefault="0072513C" w:rsidP="0072513C">
      <w:pPr>
        <w:pStyle w:val="ListParagraph"/>
        <w:ind w:left="0"/>
        <w:rPr>
          <w:rFonts w:cs="Arial"/>
          <w:szCs w:val="24"/>
        </w:rPr>
      </w:pPr>
      <w:r>
        <w:rPr>
          <w:rFonts w:cs="Arial"/>
          <w:szCs w:val="24"/>
        </w:rPr>
        <w:t xml:space="preserve">An appropriate category is </w:t>
      </w:r>
      <w:r w:rsidRPr="00C613E9">
        <w:rPr>
          <w:rFonts w:cs="Arial"/>
          <w:szCs w:val="24"/>
        </w:rPr>
        <w:t>selected</w:t>
      </w:r>
      <w:r>
        <w:rPr>
          <w:rFonts w:cs="Arial"/>
          <w:szCs w:val="24"/>
        </w:rPr>
        <w:t xml:space="preserve"> and confirmed by the Final Approver for each adverse event</w:t>
      </w:r>
      <w:r w:rsidRPr="00C613E9">
        <w:rPr>
          <w:rFonts w:cs="Arial"/>
          <w:szCs w:val="24"/>
        </w:rPr>
        <w:t xml:space="preserve">.  </w:t>
      </w:r>
      <w:r w:rsidRPr="00C613E9">
        <w:rPr>
          <w:rFonts w:cs="Arial"/>
          <w:b/>
          <w:szCs w:val="24"/>
        </w:rPr>
        <w:t>Table 2</w:t>
      </w:r>
      <w:r w:rsidRPr="00C613E9">
        <w:rPr>
          <w:rFonts w:cs="Arial"/>
          <w:szCs w:val="24"/>
        </w:rPr>
        <w:t xml:space="preserve"> below demonstrates the </w:t>
      </w:r>
      <w:r>
        <w:rPr>
          <w:rFonts w:cs="Arial"/>
          <w:szCs w:val="24"/>
        </w:rPr>
        <w:t>categories for the 93 D</w:t>
      </w:r>
      <w:r w:rsidR="00CE445E">
        <w:rPr>
          <w:rFonts w:cs="Arial"/>
          <w:szCs w:val="24"/>
        </w:rPr>
        <w:t>o</w:t>
      </w:r>
      <w:r>
        <w:rPr>
          <w:rFonts w:cs="Arial"/>
          <w:szCs w:val="24"/>
        </w:rPr>
        <w:t xml:space="preserve">C adverse events and highlights 58% are related to pressure ulcers:- </w:t>
      </w:r>
    </w:p>
    <w:p w14:paraId="7F993A17" w14:textId="77777777" w:rsidR="0072513C" w:rsidRPr="00C613E9" w:rsidRDefault="0072513C" w:rsidP="0072513C">
      <w:pPr>
        <w:pStyle w:val="ListParagraph"/>
        <w:ind w:left="0"/>
        <w:rPr>
          <w:rFonts w:cs="Arial"/>
          <w:szCs w:val="24"/>
        </w:rPr>
      </w:pPr>
    </w:p>
    <w:p w14:paraId="34567B31" w14:textId="77777777" w:rsidR="0072513C" w:rsidRDefault="0072513C" w:rsidP="0072513C">
      <w:pPr>
        <w:pStyle w:val="ListParagraph"/>
        <w:ind w:left="0"/>
        <w:rPr>
          <w:rFonts w:cs="Arial"/>
          <w:i/>
          <w:szCs w:val="24"/>
        </w:rPr>
      </w:pPr>
      <w:r>
        <w:rPr>
          <w:noProof/>
          <w:lang w:eastAsia="en-GB"/>
        </w:rPr>
        <w:drawing>
          <wp:inline distT="0" distB="0" distL="0" distR="0" wp14:anchorId="6CAAB7F5" wp14:editId="6C601428">
            <wp:extent cx="6165476" cy="3016885"/>
            <wp:effectExtent l="0" t="0" r="698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C0E3EF" w14:textId="74DBB48A" w:rsidR="0072513C" w:rsidRPr="00E95075" w:rsidRDefault="0072513C" w:rsidP="0072513C">
      <w:pPr>
        <w:pStyle w:val="ListParagraph"/>
        <w:ind w:left="0"/>
        <w:jc w:val="right"/>
        <w:rPr>
          <w:rFonts w:cs="Arial"/>
          <w:b/>
          <w:sz w:val="22"/>
          <w:szCs w:val="22"/>
        </w:rPr>
      </w:pPr>
      <w:r w:rsidRPr="00E95075">
        <w:rPr>
          <w:rFonts w:cs="Arial"/>
          <w:b/>
          <w:sz w:val="22"/>
          <w:szCs w:val="22"/>
        </w:rPr>
        <w:t>Table 2</w:t>
      </w:r>
      <w:r w:rsidRPr="00E95075">
        <w:rPr>
          <w:rFonts w:cs="Arial"/>
          <w:sz w:val="22"/>
          <w:szCs w:val="22"/>
        </w:rPr>
        <w:t xml:space="preserve"> </w:t>
      </w:r>
      <w:r w:rsidRPr="00E95075">
        <w:rPr>
          <w:rFonts w:cs="Arial"/>
          <w:b/>
          <w:sz w:val="22"/>
          <w:szCs w:val="22"/>
        </w:rPr>
        <w:t>demonstrates the categories for the 93 D</w:t>
      </w:r>
      <w:r w:rsidR="00CE445E">
        <w:rPr>
          <w:rFonts w:cs="Arial"/>
          <w:b/>
          <w:sz w:val="22"/>
          <w:szCs w:val="22"/>
        </w:rPr>
        <w:t>o</w:t>
      </w:r>
      <w:r w:rsidRPr="00E95075">
        <w:rPr>
          <w:rFonts w:cs="Arial"/>
          <w:b/>
          <w:sz w:val="22"/>
          <w:szCs w:val="22"/>
        </w:rPr>
        <w:t>C adverse events</w:t>
      </w:r>
    </w:p>
    <w:p w14:paraId="26F53F90" w14:textId="77777777" w:rsidR="0072513C" w:rsidRDefault="0072513C" w:rsidP="0072513C">
      <w:pPr>
        <w:pStyle w:val="ListParagraph"/>
        <w:ind w:left="0"/>
        <w:jc w:val="right"/>
        <w:rPr>
          <w:rFonts w:cs="Arial"/>
          <w:i/>
          <w:szCs w:val="24"/>
        </w:rPr>
      </w:pPr>
    </w:p>
    <w:p w14:paraId="299434FB" w14:textId="77777777" w:rsidR="0072513C" w:rsidRDefault="0072513C" w:rsidP="0072513C">
      <w:pPr>
        <w:pStyle w:val="ListParagraph"/>
        <w:ind w:left="0"/>
        <w:jc w:val="right"/>
        <w:rPr>
          <w:rFonts w:cs="Arial"/>
          <w:i/>
          <w:szCs w:val="24"/>
        </w:rPr>
      </w:pPr>
    </w:p>
    <w:p w14:paraId="35C14778" w14:textId="77777777" w:rsidR="0072513C" w:rsidRPr="00384275" w:rsidRDefault="0072513C" w:rsidP="0072513C">
      <w:pPr>
        <w:pStyle w:val="ListParagraph"/>
        <w:pBdr>
          <w:top w:val="single" w:sz="4" w:space="1" w:color="auto"/>
          <w:left w:val="single" w:sz="4" w:space="4" w:color="auto"/>
          <w:bottom w:val="single" w:sz="4" w:space="1" w:color="auto"/>
          <w:right w:val="single" w:sz="4" w:space="4" w:color="auto"/>
        </w:pBdr>
        <w:shd w:val="clear" w:color="auto" w:fill="DEEAF6" w:themeFill="accent1" w:themeFillTint="33"/>
        <w:ind w:left="567" w:hanging="567"/>
        <w:rPr>
          <w:rFonts w:cs="Arial"/>
          <w:b/>
          <w:szCs w:val="24"/>
        </w:rPr>
      </w:pPr>
      <w:r>
        <w:rPr>
          <w:rFonts w:cs="Arial"/>
          <w:b/>
          <w:szCs w:val="24"/>
        </w:rPr>
        <w:t>6</w:t>
      </w:r>
      <w:r w:rsidRPr="00384275">
        <w:rPr>
          <w:rFonts w:cs="Arial"/>
          <w:b/>
          <w:szCs w:val="24"/>
        </w:rPr>
        <w:t>.  T</w:t>
      </w:r>
      <w:r>
        <w:rPr>
          <w:rFonts w:cs="Arial"/>
          <w:b/>
          <w:szCs w:val="24"/>
        </w:rPr>
        <w:t>o what extent did NHSAA follow the DOC Procedure?</w:t>
      </w:r>
    </w:p>
    <w:p w14:paraId="52DF889B" w14:textId="77777777" w:rsidR="0072513C" w:rsidRPr="00A94C77" w:rsidRDefault="0072513C" w:rsidP="0072513C">
      <w:pPr>
        <w:pStyle w:val="ListParagraph"/>
        <w:ind w:left="0"/>
        <w:rPr>
          <w:rFonts w:cs="Arial"/>
          <w:b/>
          <w:szCs w:val="24"/>
        </w:rPr>
      </w:pPr>
    </w:p>
    <w:p w14:paraId="576D53FB" w14:textId="4ABD254A" w:rsidR="00D94E35" w:rsidRDefault="0072513C" w:rsidP="0072513C">
      <w:pPr>
        <w:rPr>
          <w:rFonts w:cs="Arial"/>
          <w:szCs w:val="24"/>
        </w:rPr>
      </w:pPr>
      <w:r w:rsidRPr="00A94C77">
        <w:rPr>
          <w:rFonts w:cs="Arial"/>
          <w:szCs w:val="24"/>
        </w:rPr>
        <w:t>When D</w:t>
      </w:r>
      <w:r w:rsidR="00CE445E">
        <w:rPr>
          <w:rFonts w:cs="Arial"/>
          <w:szCs w:val="24"/>
        </w:rPr>
        <w:t>o</w:t>
      </w:r>
      <w:r w:rsidRPr="00A94C77">
        <w:rPr>
          <w:rFonts w:cs="Arial"/>
          <w:szCs w:val="24"/>
        </w:rPr>
        <w:t>C was triggered for the events listed above, NHSAA com</w:t>
      </w:r>
      <w:r w:rsidR="009223B8">
        <w:rPr>
          <w:rFonts w:cs="Arial"/>
          <w:szCs w:val="24"/>
        </w:rPr>
        <w:t>menced the full D</w:t>
      </w:r>
      <w:r w:rsidR="00CE445E">
        <w:rPr>
          <w:rFonts w:cs="Arial"/>
          <w:szCs w:val="24"/>
        </w:rPr>
        <w:t>o</w:t>
      </w:r>
      <w:r w:rsidR="009223B8">
        <w:rPr>
          <w:rFonts w:cs="Arial"/>
          <w:szCs w:val="24"/>
        </w:rPr>
        <w:t xml:space="preserve">C </w:t>
      </w:r>
      <w:r w:rsidR="00CE445E">
        <w:rPr>
          <w:rFonts w:cs="Arial"/>
          <w:szCs w:val="24"/>
        </w:rPr>
        <w:t>p</w:t>
      </w:r>
      <w:r w:rsidR="00CA667D">
        <w:rPr>
          <w:rFonts w:cs="Arial"/>
          <w:szCs w:val="24"/>
        </w:rPr>
        <w:t>rocedure s</w:t>
      </w:r>
      <w:r w:rsidR="009223B8">
        <w:rPr>
          <w:rFonts w:cs="Arial"/>
          <w:szCs w:val="24"/>
        </w:rPr>
        <w:t>teps</w:t>
      </w:r>
      <w:r w:rsidRPr="00A94C77">
        <w:rPr>
          <w:rFonts w:cs="Arial"/>
          <w:szCs w:val="24"/>
        </w:rPr>
        <w:t xml:space="preserve"> as detailed below.  </w:t>
      </w:r>
      <w:r w:rsidR="00CE445E">
        <w:rPr>
          <w:rFonts w:cs="Arial"/>
          <w:szCs w:val="24"/>
        </w:rPr>
        <w:t>The</w:t>
      </w:r>
      <w:r w:rsidR="009223B8">
        <w:rPr>
          <w:rFonts w:cs="Arial"/>
          <w:szCs w:val="24"/>
        </w:rPr>
        <w:t xml:space="preserve"> local reporting system i</w:t>
      </w:r>
      <w:r w:rsidR="00926464">
        <w:rPr>
          <w:rFonts w:cs="Arial"/>
          <w:szCs w:val="24"/>
        </w:rPr>
        <w:t xml:space="preserve">s updated to reflect the </w:t>
      </w:r>
      <w:r w:rsidR="009223B8">
        <w:rPr>
          <w:rFonts w:cs="Arial"/>
          <w:szCs w:val="24"/>
        </w:rPr>
        <w:t>steps completed following approval of the SAER / LMTR Report.  As such, a</w:t>
      </w:r>
      <w:r w:rsidRPr="00A94C77">
        <w:rPr>
          <w:rFonts w:cs="Arial"/>
          <w:szCs w:val="24"/>
        </w:rPr>
        <w:t>t the time of writing this report</w:t>
      </w:r>
      <w:r w:rsidR="009223B8">
        <w:rPr>
          <w:rFonts w:cs="Arial"/>
          <w:szCs w:val="24"/>
        </w:rPr>
        <w:t>,</w:t>
      </w:r>
      <w:r w:rsidR="00CA667D">
        <w:rPr>
          <w:rFonts w:cs="Arial"/>
          <w:szCs w:val="24"/>
        </w:rPr>
        <w:t xml:space="preserve"> </w:t>
      </w:r>
      <w:r w:rsidR="00926464">
        <w:rPr>
          <w:rFonts w:cs="Arial"/>
          <w:szCs w:val="24"/>
        </w:rPr>
        <w:t>t</w:t>
      </w:r>
      <w:r w:rsidR="009223B8">
        <w:rPr>
          <w:rFonts w:cs="Arial"/>
          <w:szCs w:val="24"/>
        </w:rPr>
        <w:t xml:space="preserve">here are 51 </w:t>
      </w:r>
      <w:r w:rsidR="00926464">
        <w:rPr>
          <w:rFonts w:cs="Arial"/>
          <w:szCs w:val="24"/>
        </w:rPr>
        <w:t xml:space="preserve">of the </w:t>
      </w:r>
      <w:r w:rsidR="008B1087">
        <w:rPr>
          <w:rFonts w:cs="Arial"/>
          <w:szCs w:val="24"/>
        </w:rPr>
        <w:t xml:space="preserve">93 event </w:t>
      </w:r>
      <w:r w:rsidR="009223B8">
        <w:rPr>
          <w:rFonts w:cs="Arial"/>
          <w:szCs w:val="24"/>
        </w:rPr>
        <w:t>reports not yet approved (</w:t>
      </w:r>
      <w:r w:rsidR="00CA667D">
        <w:rPr>
          <w:rFonts w:cs="Arial"/>
          <w:szCs w:val="24"/>
        </w:rPr>
        <w:t>5</w:t>
      </w:r>
      <w:r w:rsidR="00926464">
        <w:rPr>
          <w:rFonts w:cs="Arial"/>
          <w:szCs w:val="24"/>
        </w:rPr>
        <w:t xml:space="preserve">5% of events) therefore </w:t>
      </w:r>
      <w:r w:rsidR="00CE445E">
        <w:rPr>
          <w:rFonts w:cs="Arial"/>
          <w:szCs w:val="24"/>
        </w:rPr>
        <w:t xml:space="preserve">full </w:t>
      </w:r>
      <w:r w:rsidR="00926464">
        <w:rPr>
          <w:rFonts w:cs="Arial"/>
          <w:szCs w:val="24"/>
        </w:rPr>
        <w:t>D</w:t>
      </w:r>
      <w:r w:rsidR="00CE445E">
        <w:rPr>
          <w:rFonts w:cs="Arial"/>
          <w:szCs w:val="24"/>
        </w:rPr>
        <w:t>o</w:t>
      </w:r>
      <w:r w:rsidR="00926464">
        <w:rPr>
          <w:rFonts w:cs="Arial"/>
          <w:szCs w:val="24"/>
        </w:rPr>
        <w:t>C</w:t>
      </w:r>
      <w:r w:rsidR="007D121E">
        <w:rPr>
          <w:rFonts w:cs="Arial"/>
          <w:szCs w:val="24"/>
        </w:rPr>
        <w:t xml:space="preserve"> </w:t>
      </w:r>
      <w:r w:rsidR="00CA667D">
        <w:rPr>
          <w:rFonts w:cs="Arial"/>
          <w:szCs w:val="24"/>
        </w:rPr>
        <w:t>data</w:t>
      </w:r>
      <w:r w:rsidR="007D121E">
        <w:rPr>
          <w:rFonts w:cs="Arial"/>
          <w:szCs w:val="24"/>
        </w:rPr>
        <w:t xml:space="preserve"> </w:t>
      </w:r>
      <w:r w:rsidR="00926464">
        <w:rPr>
          <w:rFonts w:cs="Arial"/>
          <w:szCs w:val="24"/>
        </w:rPr>
        <w:t xml:space="preserve">is not </w:t>
      </w:r>
      <w:r w:rsidR="007D121E">
        <w:rPr>
          <w:rFonts w:cs="Arial"/>
          <w:szCs w:val="24"/>
        </w:rPr>
        <w:t>available</w:t>
      </w:r>
      <w:r w:rsidR="00926464">
        <w:rPr>
          <w:rFonts w:cs="Arial"/>
          <w:szCs w:val="24"/>
        </w:rPr>
        <w:t xml:space="preserve"> at present</w:t>
      </w:r>
      <w:r w:rsidR="00CA667D">
        <w:rPr>
          <w:rFonts w:cs="Arial"/>
          <w:szCs w:val="24"/>
        </w:rPr>
        <w:t xml:space="preserve">. </w:t>
      </w:r>
      <w:r w:rsidR="00D94E35">
        <w:rPr>
          <w:rFonts w:cs="Arial"/>
          <w:szCs w:val="24"/>
        </w:rPr>
        <w:t>The 42 events that have concluded were assessed for compliance with the following elements of the D</w:t>
      </w:r>
      <w:r w:rsidR="00CE445E">
        <w:rPr>
          <w:rFonts w:cs="Arial"/>
          <w:szCs w:val="24"/>
        </w:rPr>
        <w:t>o</w:t>
      </w:r>
      <w:r w:rsidR="00D94E35">
        <w:rPr>
          <w:rFonts w:cs="Arial"/>
          <w:szCs w:val="24"/>
        </w:rPr>
        <w:t>C legislation:</w:t>
      </w:r>
    </w:p>
    <w:p w14:paraId="6DBE0E58" w14:textId="77777777" w:rsidR="00CE445E" w:rsidRDefault="00CE445E" w:rsidP="0072513C">
      <w:pPr>
        <w:rPr>
          <w:rFonts w:cs="Arial"/>
          <w:szCs w:val="24"/>
        </w:rPr>
      </w:pPr>
    </w:p>
    <w:p w14:paraId="454EF9A4" w14:textId="77777777" w:rsidR="00D94E35" w:rsidRDefault="00D94E35" w:rsidP="0072513C">
      <w:pPr>
        <w:rPr>
          <w:rFonts w:cs="Arial"/>
          <w:szCs w:val="24"/>
        </w:rPr>
      </w:pPr>
    </w:p>
    <w:tbl>
      <w:tblPr>
        <w:tblStyle w:val="TableGrid"/>
        <w:tblW w:w="0" w:type="auto"/>
        <w:tblLook w:val="04A0" w:firstRow="1" w:lastRow="0" w:firstColumn="1" w:lastColumn="0" w:noHBand="0" w:noVBand="1"/>
      </w:tblPr>
      <w:tblGrid>
        <w:gridCol w:w="3320"/>
        <w:gridCol w:w="1447"/>
        <w:gridCol w:w="4442"/>
      </w:tblGrid>
      <w:tr w:rsidR="009C75A8" w:rsidRPr="008B1087" w14:paraId="648E4DA1" w14:textId="77777777" w:rsidTr="009C75A8">
        <w:tc>
          <w:tcPr>
            <w:tcW w:w="3320" w:type="dxa"/>
            <w:shd w:val="clear" w:color="auto" w:fill="9CC2E5" w:themeFill="accent1" w:themeFillTint="99"/>
          </w:tcPr>
          <w:p w14:paraId="5EEC59E6" w14:textId="3F970226" w:rsidR="009C75A8" w:rsidRPr="008B1087" w:rsidRDefault="009C75A8" w:rsidP="0072513C">
            <w:pPr>
              <w:rPr>
                <w:rFonts w:cs="Arial"/>
                <w:b/>
                <w:szCs w:val="24"/>
              </w:rPr>
            </w:pPr>
            <w:r w:rsidRPr="008B1087">
              <w:rPr>
                <w:rFonts w:cs="Arial"/>
                <w:b/>
                <w:szCs w:val="24"/>
              </w:rPr>
              <w:lastRenderedPageBreak/>
              <w:t>D</w:t>
            </w:r>
            <w:r w:rsidR="00CE445E">
              <w:rPr>
                <w:rFonts w:cs="Arial"/>
                <w:b/>
                <w:szCs w:val="24"/>
              </w:rPr>
              <w:t>o</w:t>
            </w:r>
            <w:r w:rsidRPr="008B1087">
              <w:rPr>
                <w:rFonts w:cs="Arial"/>
                <w:b/>
                <w:szCs w:val="24"/>
              </w:rPr>
              <w:t>C Procedure Steps</w:t>
            </w:r>
          </w:p>
        </w:tc>
        <w:tc>
          <w:tcPr>
            <w:tcW w:w="1447" w:type="dxa"/>
            <w:shd w:val="clear" w:color="auto" w:fill="9CC2E5" w:themeFill="accent1" w:themeFillTint="99"/>
          </w:tcPr>
          <w:p w14:paraId="7F671B7B" w14:textId="20E7E79E" w:rsidR="009C75A8" w:rsidRPr="008B1087" w:rsidRDefault="009C75A8" w:rsidP="00CA667D">
            <w:pPr>
              <w:jc w:val="center"/>
              <w:rPr>
                <w:rFonts w:cs="Arial"/>
                <w:b/>
                <w:szCs w:val="24"/>
              </w:rPr>
            </w:pPr>
            <w:r>
              <w:rPr>
                <w:rFonts w:cs="Arial"/>
                <w:b/>
                <w:szCs w:val="24"/>
              </w:rPr>
              <w:t>Number of events compliant</w:t>
            </w:r>
          </w:p>
        </w:tc>
        <w:tc>
          <w:tcPr>
            <w:tcW w:w="4442" w:type="dxa"/>
            <w:shd w:val="clear" w:color="auto" w:fill="9CC2E5" w:themeFill="accent1" w:themeFillTint="99"/>
          </w:tcPr>
          <w:p w14:paraId="6E5F9970" w14:textId="42E87AAD" w:rsidR="009C75A8" w:rsidRPr="008B1087" w:rsidRDefault="009C75A8" w:rsidP="0072513C">
            <w:pPr>
              <w:rPr>
                <w:rFonts w:cs="Arial"/>
                <w:b/>
                <w:szCs w:val="24"/>
              </w:rPr>
            </w:pPr>
            <w:r w:rsidRPr="008B1087">
              <w:rPr>
                <w:rFonts w:cs="Arial"/>
                <w:b/>
                <w:szCs w:val="24"/>
              </w:rPr>
              <w:t>Reason</w:t>
            </w:r>
            <w:r>
              <w:rPr>
                <w:rFonts w:cs="Arial"/>
                <w:b/>
                <w:szCs w:val="24"/>
              </w:rPr>
              <w:t>s given for events not compliant</w:t>
            </w:r>
          </w:p>
        </w:tc>
      </w:tr>
      <w:tr w:rsidR="009C75A8" w14:paraId="7717C33E" w14:textId="77777777" w:rsidTr="009C75A8">
        <w:tc>
          <w:tcPr>
            <w:tcW w:w="3320" w:type="dxa"/>
          </w:tcPr>
          <w:p w14:paraId="424501B7" w14:textId="5C652D7D" w:rsidR="009C75A8" w:rsidRPr="008B1087" w:rsidRDefault="009C75A8" w:rsidP="0072513C">
            <w:pPr>
              <w:rPr>
                <w:rFonts w:cs="Arial"/>
                <w:szCs w:val="24"/>
              </w:rPr>
            </w:pPr>
            <w:r w:rsidRPr="008B1087">
              <w:rPr>
                <w:rFonts w:cs="Arial"/>
                <w:szCs w:val="24"/>
              </w:rPr>
              <w:t>We informed the patients and / families and provided a verbal apology</w:t>
            </w:r>
          </w:p>
        </w:tc>
        <w:tc>
          <w:tcPr>
            <w:tcW w:w="1447" w:type="dxa"/>
          </w:tcPr>
          <w:p w14:paraId="6A559048" w14:textId="24744CCE" w:rsidR="009C75A8" w:rsidRPr="008B1087" w:rsidRDefault="009C75A8" w:rsidP="00CA667D">
            <w:pPr>
              <w:jc w:val="center"/>
              <w:rPr>
                <w:rFonts w:cs="Arial"/>
                <w:szCs w:val="24"/>
              </w:rPr>
            </w:pPr>
            <w:r>
              <w:rPr>
                <w:rFonts w:cs="Arial"/>
                <w:szCs w:val="24"/>
              </w:rPr>
              <w:t>40</w:t>
            </w:r>
          </w:p>
        </w:tc>
        <w:tc>
          <w:tcPr>
            <w:tcW w:w="4442" w:type="dxa"/>
          </w:tcPr>
          <w:p w14:paraId="5D18B551" w14:textId="1F3A5528" w:rsidR="009C75A8" w:rsidRPr="008B1087" w:rsidRDefault="009C75A8" w:rsidP="0072513C">
            <w:pPr>
              <w:rPr>
                <w:rFonts w:cs="Arial"/>
                <w:szCs w:val="24"/>
              </w:rPr>
            </w:pPr>
            <w:r>
              <w:rPr>
                <w:rFonts w:cs="Arial"/>
                <w:szCs w:val="24"/>
              </w:rPr>
              <w:t>One event had n</w:t>
            </w:r>
            <w:r w:rsidRPr="008B1087">
              <w:rPr>
                <w:rFonts w:cs="Arial"/>
                <w:szCs w:val="24"/>
              </w:rPr>
              <w:t xml:space="preserve">o contact number available – </w:t>
            </w:r>
            <w:r>
              <w:rPr>
                <w:rFonts w:cs="Arial"/>
                <w:szCs w:val="24"/>
              </w:rPr>
              <w:t xml:space="preserve">a </w:t>
            </w:r>
            <w:r w:rsidRPr="008B1087">
              <w:rPr>
                <w:rFonts w:cs="Arial"/>
                <w:szCs w:val="24"/>
              </w:rPr>
              <w:t xml:space="preserve">letter </w:t>
            </w:r>
            <w:r>
              <w:rPr>
                <w:rFonts w:cs="Arial"/>
                <w:szCs w:val="24"/>
              </w:rPr>
              <w:t xml:space="preserve">was </w:t>
            </w:r>
            <w:r w:rsidRPr="008B1087">
              <w:rPr>
                <w:rFonts w:cs="Arial"/>
                <w:szCs w:val="24"/>
              </w:rPr>
              <w:t xml:space="preserve">forwarded to </w:t>
            </w:r>
            <w:r>
              <w:rPr>
                <w:rFonts w:cs="Arial"/>
                <w:szCs w:val="24"/>
              </w:rPr>
              <w:t xml:space="preserve">the </w:t>
            </w:r>
            <w:r w:rsidRPr="008B1087">
              <w:rPr>
                <w:rFonts w:cs="Arial"/>
                <w:szCs w:val="24"/>
              </w:rPr>
              <w:t>family with no response</w:t>
            </w:r>
            <w:r w:rsidR="00CE445E">
              <w:rPr>
                <w:rFonts w:cs="Arial"/>
                <w:szCs w:val="24"/>
              </w:rPr>
              <w:t>.</w:t>
            </w:r>
          </w:p>
          <w:p w14:paraId="09F3C60D" w14:textId="77777777" w:rsidR="009C75A8" w:rsidRPr="008B1087" w:rsidRDefault="009C75A8" w:rsidP="0072513C">
            <w:pPr>
              <w:rPr>
                <w:rFonts w:cs="Arial"/>
                <w:szCs w:val="24"/>
              </w:rPr>
            </w:pPr>
          </w:p>
          <w:p w14:paraId="2A1808D6" w14:textId="1BE1A1D8" w:rsidR="009C75A8" w:rsidRPr="008B1087" w:rsidRDefault="009C75A8" w:rsidP="00D94E35">
            <w:pPr>
              <w:rPr>
                <w:rFonts w:cs="Arial"/>
                <w:szCs w:val="24"/>
              </w:rPr>
            </w:pPr>
            <w:r>
              <w:rPr>
                <w:rFonts w:cs="Arial"/>
                <w:szCs w:val="24"/>
              </w:rPr>
              <w:t xml:space="preserve">One family were not contactable </w:t>
            </w:r>
            <w:r w:rsidRPr="008B1087">
              <w:rPr>
                <w:rFonts w:cs="Arial"/>
                <w:szCs w:val="24"/>
              </w:rPr>
              <w:t>following numerous attempts</w:t>
            </w:r>
            <w:r w:rsidR="00CE445E">
              <w:rPr>
                <w:rFonts w:cs="Arial"/>
                <w:szCs w:val="24"/>
              </w:rPr>
              <w:t>.</w:t>
            </w:r>
          </w:p>
        </w:tc>
      </w:tr>
      <w:tr w:rsidR="009C75A8" w14:paraId="011197E8" w14:textId="77777777" w:rsidTr="009C75A8">
        <w:tc>
          <w:tcPr>
            <w:tcW w:w="3320" w:type="dxa"/>
          </w:tcPr>
          <w:p w14:paraId="65AA28FE" w14:textId="17F0BF9E" w:rsidR="009C75A8" w:rsidRDefault="009C75A8" w:rsidP="0072513C">
            <w:pPr>
              <w:rPr>
                <w:rFonts w:cs="Arial"/>
                <w:color w:val="00B050"/>
                <w:szCs w:val="24"/>
              </w:rPr>
            </w:pPr>
            <w:r w:rsidRPr="00F50E03">
              <w:rPr>
                <w:rFonts w:cs="Arial"/>
                <w:szCs w:val="24"/>
              </w:rPr>
              <w:t>We followed the verbal apology up in writing with detail</w:t>
            </w:r>
            <w:r>
              <w:rPr>
                <w:rFonts w:cs="Arial"/>
                <w:szCs w:val="24"/>
              </w:rPr>
              <w:t>s</w:t>
            </w:r>
            <w:r w:rsidRPr="00F50E03">
              <w:rPr>
                <w:rFonts w:cs="Arial"/>
                <w:szCs w:val="24"/>
              </w:rPr>
              <w:t xml:space="preserve"> of the review process</w:t>
            </w:r>
          </w:p>
        </w:tc>
        <w:tc>
          <w:tcPr>
            <w:tcW w:w="1447" w:type="dxa"/>
          </w:tcPr>
          <w:p w14:paraId="0F7BD82A" w14:textId="286F453F" w:rsidR="009C75A8" w:rsidRPr="00CA667D" w:rsidRDefault="009C75A8" w:rsidP="00CA667D">
            <w:pPr>
              <w:jc w:val="center"/>
              <w:rPr>
                <w:rFonts w:cs="Arial"/>
                <w:szCs w:val="24"/>
              </w:rPr>
            </w:pPr>
            <w:r>
              <w:rPr>
                <w:rFonts w:cs="Arial"/>
                <w:szCs w:val="24"/>
              </w:rPr>
              <w:t>40</w:t>
            </w:r>
          </w:p>
        </w:tc>
        <w:tc>
          <w:tcPr>
            <w:tcW w:w="4442" w:type="dxa"/>
          </w:tcPr>
          <w:p w14:paraId="7F2487BA" w14:textId="71314EF0" w:rsidR="009C75A8" w:rsidRPr="00CA667D" w:rsidRDefault="009C75A8" w:rsidP="0072513C">
            <w:pPr>
              <w:rPr>
                <w:rFonts w:cs="Arial"/>
                <w:szCs w:val="24"/>
              </w:rPr>
            </w:pPr>
            <w:r>
              <w:rPr>
                <w:rFonts w:cs="Arial"/>
                <w:szCs w:val="24"/>
              </w:rPr>
              <w:t>One event noted that a v</w:t>
            </w:r>
            <w:r w:rsidRPr="00CA667D">
              <w:rPr>
                <w:rFonts w:cs="Arial"/>
                <w:szCs w:val="24"/>
              </w:rPr>
              <w:t xml:space="preserve">erbal apology </w:t>
            </w:r>
            <w:r>
              <w:rPr>
                <w:rFonts w:cs="Arial"/>
                <w:szCs w:val="24"/>
              </w:rPr>
              <w:t xml:space="preserve">was </w:t>
            </w:r>
            <w:r w:rsidRPr="00CA667D">
              <w:rPr>
                <w:rFonts w:cs="Arial"/>
                <w:szCs w:val="24"/>
              </w:rPr>
              <w:t>provided h</w:t>
            </w:r>
            <w:r>
              <w:rPr>
                <w:rFonts w:cs="Arial"/>
                <w:szCs w:val="24"/>
              </w:rPr>
              <w:t>owever the Review Team</w:t>
            </w:r>
            <w:r w:rsidRPr="00CA667D">
              <w:rPr>
                <w:rFonts w:cs="Arial"/>
                <w:szCs w:val="24"/>
              </w:rPr>
              <w:t xml:space="preserve"> </w:t>
            </w:r>
            <w:r>
              <w:rPr>
                <w:rFonts w:cs="Arial"/>
                <w:szCs w:val="24"/>
              </w:rPr>
              <w:t xml:space="preserve">were unaware that </w:t>
            </w:r>
            <w:r w:rsidRPr="00CA667D">
              <w:rPr>
                <w:rFonts w:cs="Arial"/>
                <w:szCs w:val="24"/>
              </w:rPr>
              <w:t xml:space="preserve">written follow </w:t>
            </w:r>
            <w:r>
              <w:rPr>
                <w:rFonts w:cs="Arial"/>
                <w:szCs w:val="24"/>
              </w:rPr>
              <w:t xml:space="preserve">up was required; the </w:t>
            </w:r>
            <w:r w:rsidRPr="00CA667D">
              <w:rPr>
                <w:rFonts w:cs="Arial"/>
                <w:szCs w:val="24"/>
              </w:rPr>
              <w:t>final report</w:t>
            </w:r>
            <w:r>
              <w:rPr>
                <w:rFonts w:cs="Arial"/>
                <w:szCs w:val="24"/>
              </w:rPr>
              <w:t xml:space="preserve"> was shared.</w:t>
            </w:r>
          </w:p>
          <w:p w14:paraId="10312BC3" w14:textId="77777777" w:rsidR="009C75A8" w:rsidRPr="00CA667D" w:rsidRDefault="009C75A8" w:rsidP="0072513C">
            <w:pPr>
              <w:rPr>
                <w:rFonts w:cs="Arial"/>
                <w:szCs w:val="24"/>
              </w:rPr>
            </w:pPr>
          </w:p>
          <w:p w14:paraId="57C3794E" w14:textId="27146705" w:rsidR="009C75A8" w:rsidRDefault="009C75A8" w:rsidP="0072513C">
            <w:pPr>
              <w:rPr>
                <w:rFonts w:cs="Arial"/>
                <w:color w:val="00B050"/>
                <w:szCs w:val="24"/>
              </w:rPr>
            </w:pPr>
            <w:r>
              <w:rPr>
                <w:rFonts w:cs="Arial"/>
                <w:szCs w:val="24"/>
              </w:rPr>
              <w:t xml:space="preserve">One family were not contactable </w:t>
            </w:r>
            <w:r w:rsidRPr="008B1087">
              <w:rPr>
                <w:rFonts w:cs="Arial"/>
                <w:szCs w:val="24"/>
              </w:rPr>
              <w:t>following numerous attempts</w:t>
            </w:r>
            <w:r>
              <w:rPr>
                <w:rFonts w:cs="Arial"/>
                <w:szCs w:val="24"/>
              </w:rPr>
              <w:t>.</w:t>
            </w:r>
          </w:p>
        </w:tc>
      </w:tr>
      <w:tr w:rsidR="009C75A8" w14:paraId="4AF7195B" w14:textId="77777777" w:rsidTr="009C75A8">
        <w:tc>
          <w:tcPr>
            <w:tcW w:w="3320" w:type="dxa"/>
          </w:tcPr>
          <w:p w14:paraId="1AFD4858" w14:textId="3777F650" w:rsidR="009C75A8" w:rsidRDefault="009C75A8" w:rsidP="0072513C">
            <w:pPr>
              <w:rPr>
                <w:rFonts w:cs="Arial"/>
                <w:color w:val="00B050"/>
                <w:szCs w:val="24"/>
              </w:rPr>
            </w:pPr>
            <w:r w:rsidRPr="00F50E03">
              <w:rPr>
                <w:rFonts w:cs="Arial"/>
                <w:szCs w:val="24"/>
              </w:rPr>
              <w:t>We took on board their views, listened to their concerns and addressed questions they had within the review</w:t>
            </w:r>
          </w:p>
        </w:tc>
        <w:tc>
          <w:tcPr>
            <w:tcW w:w="1447" w:type="dxa"/>
          </w:tcPr>
          <w:p w14:paraId="00192BC0" w14:textId="54C0ED94" w:rsidR="009C75A8" w:rsidRPr="00CA667D" w:rsidRDefault="009C75A8" w:rsidP="00CA667D">
            <w:pPr>
              <w:jc w:val="center"/>
              <w:rPr>
                <w:rFonts w:cs="Arial"/>
                <w:szCs w:val="24"/>
              </w:rPr>
            </w:pPr>
            <w:r>
              <w:rPr>
                <w:rFonts w:cs="Arial"/>
                <w:szCs w:val="24"/>
              </w:rPr>
              <w:t>41</w:t>
            </w:r>
          </w:p>
        </w:tc>
        <w:tc>
          <w:tcPr>
            <w:tcW w:w="4442" w:type="dxa"/>
          </w:tcPr>
          <w:p w14:paraId="35564DE5" w14:textId="2A459634" w:rsidR="009C75A8" w:rsidRDefault="009C75A8" w:rsidP="0072513C">
            <w:pPr>
              <w:rPr>
                <w:rFonts w:cs="Arial"/>
                <w:color w:val="00B050"/>
                <w:szCs w:val="24"/>
              </w:rPr>
            </w:pPr>
            <w:r>
              <w:rPr>
                <w:rFonts w:cs="Arial"/>
                <w:szCs w:val="24"/>
              </w:rPr>
              <w:t xml:space="preserve">One family were not contactable </w:t>
            </w:r>
            <w:r w:rsidRPr="008B1087">
              <w:rPr>
                <w:rFonts w:cs="Arial"/>
                <w:szCs w:val="24"/>
              </w:rPr>
              <w:t>following numerous attempts</w:t>
            </w:r>
            <w:r>
              <w:rPr>
                <w:rFonts w:cs="Arial"/>
                <w:szCs w:val="24"/>
              </w:rPr>
              <w:t>.</w:t>
            </w:r>
          </w:p>
        </w:tc>
      </w:tr>
      <w:tr w:rsidR="009C75A8" w14:paraId="03B77259" w14:textId="77777777" w:rsidTr="009C75A8">
        <w:tc>
          <w:tcPr>
            <w:tcW w:w="3320" w:type="dxa"/>
          </w:tcPr>
          <w:p w14:paraId="04949204" w14:textId="3A987C9F" w:rsidR="009C75A8" w:rsidRDefault="009C75A8" w:rsidP="0072513C">
            <w:pPr>
              <w:rPr>
                <w:rFonts w:cs="Arial"/>
                <w:color w:val="00B050"/>
                <w:szCs w:val="24"/>
              </w:rPr>
            </w:pPr>
            <w:r w:rsidRPr="00F50E03">
              <w:rPr>
                <w:rFonts w:cs="Arial"/>
                <w:szCs w:val="24"/>
              </w:rPr>
              <w:t>We informed them of the outcome of the review and provided a copy of the final review report</w:t>
            </w:r>
          </w:p>
        </w:tc>
        <w:tc>
          <w:tcPr>
            <w:tcW w:w="1447" w:type="dxa"/>
          </w:tcPr>
          <w:p w14:paraId="5F283489" w14:textId="4AA0255A" w:rsidR="009C75A8" w:rsidRPr="00CA667D" w:rsidRDefault="009C75A8" w:rsidP="00CA667D">
            <w:pPr>
              <w:jc w:val="center"/>
              <w:rPr>
                <w:rFonts w:cs="Arial"/>
                <w:szCs w:val="24"/>
              </w:rPr>
            </w:pPr>
            <w:r>
              <w:rPr>
                <w:rFonts w:cs="Arial"/>
                <w:szCs w:val="24"/>
              </w:rPr>
              <w:t>35</w:t>
            </w:r>
          </w:p>
        </w:tc>
        <w:tc>
          <w:tcPr>
            <w:tcW w:w="4442" w:type="dxa"/>
          </w:tcPr>
          <w:p w14:paraId="0F081445" w14:textId="3A0AABCB" w:rsidR="009C75A8" w:rsidRPr="008B1087" w:rsidRDefault="009C75A8" w:rsidP="00D94E35">
            <w:pPr>
              <w:rPr>
                <w:rFonts w:cs="Arial"/>
                <w:szCs w:val="24"/>
              </w:rPr>
            </w:pPr>
            <w:r>
              <w:rPr>
                <w:rFonts w:cs="Arial"/>
                <w:szCs w:val="24"/>
              </w:rPr>
              <w:t>One event had n</w:t>
            </w:r>
            <w:r w:rsidRPr="008B1087">
              <w:rPr>
                <w:rFonts w:cs="Arial"/>
                <w:szCs w:val="24"/>
              </w:rPr>
              <w:t xml:space="preserve">o contact number available – </w:t>
            </w:r>
            <w:r>
              <w:rPr>
                <w:rFonts w:cs="Arial"/>
                <w:szCs w:val="24"/>
              </w:rPr>
              <w:t xml:space="preserve">a </w:t>
            </w:r>
            <w:r w:rsidRPr="008B1087">
              <w:rPr>
                <w:rFonts w:cs="Arial"/>
                <w:szCs w:val="24"/>
              </w:rPr>
              <w:t xml:space="preserve">letter </w:t>
            </w:r>
            <w:r>
              <w:rPr>
                <w:rFonts w:cs="Arial"/>
                <w:szCs w:val="24"/>
              </w:rPr>
              <w:t xml:space="preserve">was </w:t>
            </w:r>
            <w:r w:rsidRPr="008B1087">
              <w:rPr>
                <w:rFonts w:cs="Arial"/>
                <w:szCs w:val="24"/>
              </w:rPr>
              <w:t xml:space="preserve">forwarded to </w:t>
            </w:r>
            <w:r>
              <w:rPr>
                <w:rFonts w:cs="Arial"/>
                <w:szCs w:val="24"/>
              </w:rPr>
              <w:t xml:space="preserve">the </w:t>
            </w:r>
            <w:r w:rsidRPr="008B1087">
              <w:rPr>
                <w:rFonts w:cs="Arial"/>
                <w:szCs w:val="24"/>
              </w:rPr>
              <w:t>family with no response</w:t>
            </w:r>
            <w:r w:rsidR="00CE445E">
              <w:rPr>
                <w:rFonts w:cs="Arial"/>
                <w:szCs w:val="24"/>
              </w:rPr>
              <w:t>.</w:t>
            </w:r>
          </w:p>
          <w:p w14:paraId="5FC2E0CE" w14:textId="77777777" w:rsidR="009C75A8" w:rsidRDefault="009C75A8" w:rsidP="008B1087">
            <w:pPr>
              <w:rPr>
                <w:rFonts w:cs="Arial"/>
                <w:szCs w:val="24"/>
              </w:rPr>
            </w:pPr>
          </w:p>
          <w:p w14:paraId="523732AD" w14:textId="466D59CC" w:rsidR="009C75A8" w:rsidRDefault="009C75A8" w:rsidP="008B1087">
            <w:pPr>
              <w:rPr>
                <w:rFonts w:cs="Arial"/>
                <w:szCs w:val="24"/>
              </w:rPr>
            </w:pPr>
            <w:r>
              <w:rPr>
                <w:rFonts w:cs="Arial"/>
                <w:szCs w:val="24"/>
              </w:rPr>
              <w:t>Two families were u</w:t>
            </w:r>
            <w:r w:rsidRPr="008B1087">
              <w:rPr>
                <w:rFonts w:cs="Arial"/>
                <w:szCs w:val="24"/>
              </w:rPr>
              <w:t xml:space="preserve">nable to </w:t>
            </w:r>
            <w:r>
              <w:rPr>
                <w:rFonts w:cs="Arial"/>
                <w:szCs w:val="24"/>
              </w:rPr>
              <w:t>be c</w:t>
            </w:r>
            <w:r w:rsidRPr="008B1087">
              <w:rPr>
                <w:rFonts w:cs="Arial"/>
                <w:szCs w:val="24"/>
              </w:rPr>
              <w:t>ontact</w:t>
            </w:r>
            <w:r>
              <w:rPr>
                <w:rFonts w:cs="Arial"/>
                <w:szCs w:val="24"/>
              </w:rPr>
              <w:t>ed</w:t>
            </w:r>
            <w:r w:rsidRPr="008B1087">
              <w:rPr>
                <w:rFonts w:cs="Arial"/>
                <w:szCs w:val="24"/>
              </w:rPr>
              <w:t xml:space="preserve"> following numerous attempts</w:t>
            </w:r>
            <w:r w:rsidR="00CE445E">
              <w:rPr>
                <w:rFonts w:cs="Arial"/>
                <w:szCs w:val="24"/>
              </w:rPr>
              <w:t>.</w:t>
            </w:r>
          </w:p>
          <w:p w14:paraId="245341A8" w14:textId="77777777" w:rsidR="009C75A8" w:rsidRDefault="009C75A8" w:rsidP="008B1087">
            <w:pPr>
              <w:rPr>
                <w:rFonts w:cs="Arial"/>
                <w:szCs w:val="24"/>
              </w:rPr>
            </w:pPr>
          </w:p>
          <w:p w14:paraId="7A22DBC4" w14:textId="6C1AB2C9" w:rsidR="009C75A8" w:rsidRDefault="009C75A8" w:rsidP="00D94E35">
            <w:pPr>
              <w:rPr>
                <w:rFonts w:cs="Arial"/>
                <w:szCs w:val="24"/>
              </w:rPr>
            </w:pPr>
            <w:r>
              <w:rPr>
                <w:rFonts w:cs="Arial"/>
                <w:szCs w:val="24"/>
              </w:rPr>
              <w:t>Three patients/families declined a copy of the report</w:t>
            </w:r>
            <w:r w:rsidR="00CE445E">
              <w:rPr>
                <w:rFonts w:cs="Arial"/>
                <w:szCs w:val="24"/>
              </w:rPr>
              <w:t>.</w:t>
            </w:r>
          </w:p>
          <w:p w14:paraId="487A0B2F" w14:textId="77777777" w:rsidR="009C75A8" w:rsidRDefault="009C75A8" w:rsidP="00D94E35">
            <w:pPr>
              <w:rPr>
                <w:rFonts w:cs="Arial"/>
                <w:szCs w:val="24"/>
              </w:rPr>
            </w:pPr>
          </w:p>
          <w:p w14:paraId="1C36F73C" w14:textId="5749B464" w:rsidR="009C75A8" w:rsidRDefault="009C75A8" w:rsidP="00D94E35">
            <w:pPr>
              <w:rPr>
                <w:rFonts w:cs="Arial"/>
                <w:color w:val="00B050"/>
                <w:szCs w:val="24"/>
              </w:rPr>
            </w:pPr>
            <w:r>
              <w:rPr>
                <w:rFonts w:cs="Arial"/>
                <w:szCs w:val="24"/>
              </w:rPr>
              <w:t>One report has not been shared however no reason has been identified by the review team</w:t>
            </w:r>
            <w:r w:rsidR="00CE445E">
              <w:rPr>
                <w:rFonts w:cs="Arial"/>
                <w:szCs w:val="24"/>
              </w:rPr>
              <w:t>.</w:t>
            </w:r>
          </w:p>
        </w:tc>
      </w:tr>
    </w:tbl>
    <w:p w14:paraId="181CA360" w14:textId="00A5B4A7" w:rsidR="009223B8" w:rsidRDefault="009223B8" w:rsidP="0072513C">
      <w:pPr>
        <w:rPr>
          <w:rFonts w:cs="Arial"/>
          <w:color w:val="00B050"/>
          <w:szCs w:val="24"/>
        </w:rPr>
      </w:pPr>
    </w:p>
    <w:p w14:paraId="0E8D1C83" w14:textId="48F29E8D" w:rsidR="0072513C" w:rsidRPr="004C7189" w:rsidRDefault="0072513C" w:rsidP="0072513C">
      <w:pPr>
        <w:pStyle w:val="ListParagraph"/>
        <w:ind w:left="0"/>
        <w:rPr>
          <w:rFonts w:cs="Arial"/>
          <w:color w:val="00B0F0"/>
          <w:szCs w:val="24"/>
        </w:rPr>
      </w:pPr>
    </w:p>
    <w:p w14:paraId="568B7E4B" w14:textId="77777777" w:rsidR="0072513C" w:rsidRPr="00742A97" w:rsidRDefault="0072513C" w:rsidP="0072513C">
      <w:pPr>
        <w:pStyle w:val="ListParagraph"/>
        <w:pBdr>
          <w:top w:val="single" w:sz="4" w:space="1" w:color="auto"/>
          <w:left w:val="single" w:sz="4" w:space="4" w:color="auto"/>
          <w:bottom w:val="single" w:sz="4" w:space="1" w:color="auto"/>
          <w:right w:val="single" w:sz="4" w:space="4" w:color="auto"/>
        </w:pBdr>
        <w:shd w:val="clear" w:color="auto" w:fill="DEEAF6" w:themeFill="accent1" w:themeFillTint="33"/>
        <w:ind w:left="567" w:hanging="567"/>
        <w:rPr>
          <w:rFonts w:cs="Arial"/>
          <w:b/>
          <w:szCs w:val="24"/>
        </w:rPr>
      </w:pPr>
      <w:r w:rsidRPr="00742A97">
        <w:rPr>
          <w:rFonts w:cs="Arial"/>
          <w:b/>
          <w:szCs w:val="24"/>
        </w:rPr>
        <w:t>7.   What has improved as a result?</w:t>
      </w:r>
      <w:r>
        <w:rPr>
          <w:rFonts w:cs="Arial"/>
          <w:b/>
          <w:szCs w:val="24"/>
        </w:rPr>
        <w:t xml:space="preserve"> </w:t>
      </w:r>
    </w:p>
    <w:p w14:paraId="4078DFA2" w14:textId="77777777" w:rsidR="0072513C" w:rsidRDefault="0072513C" w:rsidP="0072513C">
      <w:pPr>
        <w:rPr>
          <w:rFonts w:cs="Arial"/>
          <w:color w:val="00B0F0"/>
        </w:rPr>
      </w:pPr>
    </w:p>
    <w:p w14:paraId="78282244" w14:textId="566581E5" w:rsidR="0072513C" w:rsidRPr="00507E85" w:rsidRDefault="0072513C" w:rsidP="0072513C">
      <w:pPr>
        <w:rPr>
          <w:rFonts w:cs="Arial"/>
          <w:szCs w:val="24"/>
        </w:rPr>
      </w:pPr>
      <w:r>
        <w:rPr>
          <w:rFonts w:cs="Arial"/>
          <w:szCs w:val="24"/>
        </w:rPr>
        <w:t xml:space="preserve">A </w:t>
      </w:r>
      <w:r w:rsidRPr="00507E85">
        <w:rPr>
          <w:rFonts w:cs="Arial"/>
          <w:szCs w:val="24"/>
        </w:rPr>
        <w:t xml:space="preserve">number of changes to </w:t>
      </w:r>
      <w:r>
        <w:rPr>
          <w:rFonts w:cs="Arial"/>
          <w:szCs w:val="24"/>
        </w:rPr>
        <w:t>local</w:t>
      </w:r>
      <w:r w:rsidRPr="00507E85">
        <w:rPr>
          <w:rFonts w:cs="Arial"/>
          <w:szCs w:val="24"/>
        </w:rPr>
        <w:t xml:space="preserve"> policies and procedures </w:t>
      </w:r>
      <w:r>
        <w:rPr>
          <w:rFonts w:cs="Arial"/>
          <w:szCs w:val="24"/>
        </w:rPr>
        <w:t xml:space="preserve">have been made </w:t>
      </w:r>
      <w:r w:rsidRPr="00507E85">
        <w:rPr>
          <w:rFonts w:cs="Arial"/>
          <w:szCs w:val="24"/>
        </w:rPr>
        <w:t>as a result o</w:t>
      </w:r>
      <w:r>
        <w:rPr>
          <w:rFonts w:cs="Arial"/>
          <w:szCs w:val="24"/>
        </w:rPr>
        <w:t xml:space="preserve">f events that triggered </w:t>
      </w:r>
      <w:r w:rsidRPr="00507E85">
        <w:rPr>
          <w:rFonts w:cs="Arial"/>
          <w:szCs w:val="24"/>
        </w:rPr>
        <w:t>D</w:t>
      </w:r>
      <w:r w:rsidR="00CE445E">
        <w:rPr>
          <w:rFonts w:cs="Arial"/>
          <w:szCs w:val="24"/>
        </w:rPr>
        <w:t>o</w:t>
      </w:r>
      <w:r w:rsidRPr="00507E85">
        <w:rPr>
          <w:rFonts w:cs="Arial"/>
          <w:szCs w:val="24"/>
        </w:rPr>
        <w:t>C</w:t>
      </w:r>
      <w:r>
        <w:rPr>
          <w:rFonts w:cs="Arial"/>
          <w:szCs w:val="24"/>
        </w:rPr>
        <w:t>; examples are as follows:</w:t>
      </w:r>
    </w:p>
    <w:p w14:paraId="36B7716E" w14:textId="77777777" w:rsidR="0072513C" w:rsidRDefault="0072513C" w:rsidP="0072513C">
      <w:pPr>
        <w:rPr>
          <w:rFonts w:cs="Arial"/>
          <w:color w:val="00B0F0"/>
        </w:rPr>
      </w:pPr>
    </w:p>
    <w:p w14:paraId="36876400" w14:textId="77777777" w:rsidR="0072513C" w:rsidRPr="00A94C77" w:rsidRDefault="0072513C" w:rsidP="0072513C">
      <w:pPr>
        <w:rPr>
          <w:u w:val="single"/>
        </w:rPr>
      </w:pPr>
      <w:r w:rsidRPr="00A94C77">
        <w:rPr>
          <w:u w:val="single"/>
        </w:rPr>
        <w:t>Example One</w:t>
      </w:r>
    </w:p>
    <w:p w14:paraId="03142214" w14:textId="77777777" w:rsidR="0072513C" w:rsidRDefault="0072513C" w:rsidP="0072513C"/>
    <w:p w14:paraId="366C1715" w14:textId="77777777" w:rsidR="0072513C" w:rsidRDefault="0072513C" w:rsidP="0072513C">
      <w:r>
        <w:t>A patient attended to have two procedures performed.  The patient had the procedures performed as per the Surgical Booking Form however, the Surgical Booking Form did not reflect the procedures required in relation to what was documented within the clinical notes. The review identified there was several missed opportunities to identify the discrepancy.  In response, an Improvement Plan has been developed as follows:-</w:t>
      </w:r>
    </w:p>
    <w:p w14:paraId="6BBE54D9" w14:textId="77777777" w:rsidR="0072513C" w:rsidRDefault="0072513C" w:rsidP="0072513C"/>
    <w:p w14:paraId="7FC9FFF7" w14:textId="77777777" w:rsidR="0072513C" w:rsidRDefault="0072513C" w:rsidP="0072513C">
      <w:pPr>
        <w:pStyle w:val="ListParagraph"/>
        <w:numPr>
          <w:ilvl w:val="0"/>
          <w:numId w:val="44"/>
        </w:numPr>
      </w:pPr>
      <w:r>
        <w:lastRenderedPageBreak/>
        <w:t xml:space="preserve">Develop a single document to follow the patient through assessment to surgical booking and completion of procedure, linked to the development of the safe delivery of Nurse Led Minor Surgery in (relevant specialty) Guideline. </w:t>
      </w:r>
    </w:p>
    <w:p w14:paraId="036D9FBE" w14:textId="77777777" w:rsidR="0072513C" w:rsidRDefault="0072513C" w:rsidP="0072513C">
      <w:pPr>
        <w:pStyle w:val="ListParagraph"/>
        <w:numPr>
          <w:ilvl w:val="0"/>
          <w:numId w:val="44"/>
        </w:numPr>
      </w:pPr>
      <w:r>
        <w:t xml:space="preserve">Introduction of a surgical pause/timeout for all surgical procedures. </w:t>
      </w:r>
    </w:p>
    <w:p w14:paraId="1F95FCFD" w14:textId="77777777" w:rsidR="0072513C" w:rsidRDefault="0072513C" w:rsidP="0072513C">
      <w:pPr>
        <w:pStyle w:val="ListParagraph"/>
        <w:numPr>
          <w:ilvl w:val="0"/>
          <w:numId w:val="44"/>
        </w:numPr>
      </w:pPr>
      <w:r>
        <w:t>A need for adequate induction to practice and policies for all staff who are new to a specialty.</w:t>
      </w:r>
    </w:p>
    <w:p w14:paraId="58173BE4" w14:textId="77777777" w:rsidR="0072513C" w:rsidRDefault="0072513C" w:rsidP="0072513C"/>
    <w:p w14:paraId="0E618CB2" w14:textId="77777777" w:rsidR="0072513C" w:rsidRDefault="0072513C" w:rsidP="0072513C">
      <w:pPr>
        <w:rPr>
          <w:u w:val="single"/>
        </w:rPr>
      </w:pPr>
      <w:r>
        <w:rPr>
          <w:u w:val="single"/>
        </w:rPr>
        <w:t>Example Two</w:t>
      </w:r>
    </w:p>
    <w:p w14:paraId="4F5F4D99" w14:textId="77777777" w:rsidR="0072513C" w:rsidRPr="00A71103" w:rsidRDefault="0072513C" w:rsidP="0072513C">
      <w:pPr>
        <w:rPr>
          <w:u w:val="single"/>
        </w:rPr>
      </w:pPr>
    </w:p>
    <w:p w14:paraId="1630C49F" w14:textId="77777777" w:rsidR="0072513C" w:rsidRDefault="0072513C" w:rsidP="0072513C">
      <w:r>
        <w:t>Resuscitation attempts were carried out on a patient who had a Do Not Attempt Cardio Pulmonary Resuscitation (DNACPR) in place from a previous admission. The review identified the lack of awareness of the pre-existing DNACPR led to resuscitation efforts being made which were not appropriate.  In response, an Improvement Plan has been developed as follows:-</w:t>
      </w:r>
    </w:p>
    <w:p w14:paraId="67F3B9A9" w14:textId="77777777" w:rsidR="0072513C" w:rsidRDefault="0072513C" w:rsidP="0072513C"/>
    <w:p w14:paraId="0C26878D" w14:textId="77777777" w:rsidR="0072513C" w:rsidRDefault="0072513C" w:rsidP="0072513C">
      <w:pPr>
        <w:pStyle w:val="ListParagraph"/>
        <w:numPr>
          <w:ilvl w:val="0"/>
          <w:numId w:val="43"/>
        </w:numPr>
      </w:pPr>
      <w:r>
        <w:t xml:space="preserve">Staff who are responsible for the taking and recording of patient observations must have robust knowledge regarding appropriate escalation and the timely repeat observations that are required. All staff who are responsible for the recording of National Early Warning Score (NEWS) to complete NHS Education for Scotland NEWS mandatory education e learning module. </w:t>
      </w:r>
    </w:p>
    <w:p w14:paraId="3D2AE911" w14:textId="77777777" w:rsidR="0072513C" w:rsidRDefault="0072513C" w:rsidP="0072513C">
      <w:pPr>
        <w:pStyle w:val="ListParagraph"/>
        <w:numPr>
          <w:ilvl w:val="0"/>
          <w:numId w:val="43"/>
        </w:numPr>
      </w:pPr>
      <w:r>
        <w:t xml:space="preserve">Patients who have DNACPR documents in place should be identified. These documents are located at the front of the patient’s medical notes and should be checked by staff on patient’s admission to hospital.  Where existing documents are in place, they should be flagged timely to relevant clinical staff. </w:t>
      </w:r>
    </w:p>
    <w:p w14:paraId="41940BC0" w14:textId="77777777" w:rsidR="0072513C" w:rsidRPr="004C7189" w:rsidRDefault="0072513C" w:rsidP="0072513C">
      <w:pPr>
        <w:tabs>
          <w:tab w:val="left" w:pos="6000"/>
        </w:tabs>
        <w:rPr>
          <w:rFonts w:eastAsia="Batang" w:cs="Arial"/>
          <w:color w:val="00B0F0"/>
          <w:szCs w:val="24"/>
          <w:u w:val="single"/>
        </w:rPr>
      </w:pPr>
    </w:p>
    <w:p w14:paraId="67939B71" w14:textId="77777777" w:rsidR="0072513C" w:rsidRPr="00742A97" w:rsidRDefault="0072513C" w:rsidP="0072513C">
      <w:pPr>
        <w:pBdr>
          <w:top w:val="single" w:sz="4" w:space="1" w:color="auto"/>
          <w:left w:val="single" w:sz="4" w:space="4" w:color="auto"/>
          <w:bottom w:val="single" w:sz="4" w:space="1" w:color="auto"/>
          <w:right w:val="single" w:sz="4" w:space="4" w:color="auto"/>
        </w:pBdr>
        <w:shd w:val="clear" w:color="auto" w:fill="DEEAF6" w:themeFill="accent1" w:themeFillTint="33"/>
        <w:ind w:left="567" w:hanging="567"/>
        <w:rPr>
          <w:rFonts w:cs="Arial"/>
          <w:b/>
        </w:rPr>
      </w:pPr>
      <w:r w:rsidRPr="00742A97">
        <w:rPr>
          <w:rFonts w:cs="Arial"/>
          <w:b/>
        </w:rPr>
        <w:t>8.</w:t>
      </w:r>
      <w:r>
        <w:rPr>
          <w:rFonts w:cs="Arial"/>
          <w:b/>
        </w:rPr>
        <w:t xml:space="preserve">  Additional </w:t>
      </w:r>
      <w:r w:rsidRPr="00742A97">
        <w:rPr>
          <w:rFonts w:cs="Arial"/>
          <w:b/>
        </w:rPr>
        <w:t>information</w:t>
      </w:r>
    </w:p>
    <w:p w14:paraId="24BF1DF6" w14:textId="77777777" w:rsidR="0072513C" w:rsidRDefault="0072513C" w:rsidP="0072513C">
      <w:pPr>
        <w:rPr>
          <w:rFonts w:cs="Arial"/>
          <w:b/>
          <w:color w:val="00B0F0"/>
        </w:rPr>
      </w:pPr>
    </w:p>
    <w:p w14:paraId="52ED2D06" w14:textId="74F31313" w:rsidR="0072513C" w:rsidRDefault="0072513C" w:rsidP="0072513C">
      <w:pPr>
        <w:rPr>
          <w:rFonts w:cs="Arial"/>
        </w:rPr>
      </w:pPr>
      <w:r w:rsidRPr="00B0047E">
        <w:rPr>
          <w:rFonts w:cs="Arial"/>
        </w:rPr>
        <w:t xml:space="preserve">This is the seventh year of the organisational </w:t>
      </w:r>
      <w:r>
        <w:rPr>
          <w:rFonts w:cs="Arial"/>
        </w:rPr>
        <w:t>D</w:t>
      </w:r>
      <w:r w:rsidR="00BE4E89">
        <w:rPr>
          <w:rFonts w:cs="Arial"/>
        </w:rPr>
        <w:t>o</w:t>
      </w:r>
      <w:r>
        <w:rPr>
          <w:rFonts w:cs="Arial"/>
        </w:rPr>
        <w:t xml:space="preserve">C </w:t>
      </w:r>
      <w:r w:rsidRPr="00B0047E">
        <w:rPr>
          <w:rFonts w:cs="Arial"/>
        </w:rPr>
        <w:t xml:space="preserve">being in operation and it has been another year of learning and refining our existing adverse event management process to include the required outcomes.  </w:t>
      </w:r>
    </w:p>
    <w:p w14:paraId="6FE52408" w14:textId="77777777" w:rsidR="0072513C" w:rsidRDefault="0072513C" w:rsidP="0072513C">
      <w:pPr>
        <w:rPr>
          <w:rFonts w:cs="Arial"/>
        </w:rPr>
      </w:pPr>
    </w:p>
    <w:p w14:paraId="44A4337A" w14:textId="77777777" w:rsidR="0072513C" w:rsidRPr="00FA659C" w:rsidRDefault="0072513C" w:rsidP="0072513C">
      <w:pPr>
        <w:rPr>
          <w:rFonts w:cs="Arial"/>
          <w:szCs w:val="24"/>
        </w:rPr>
      </w:pPr>
      <w:r>
        <w:rPr>
          <w:rFonts w:cs="Arial"/>
        </w:rPr>
        <w:t>As required</w:t>
      </w:r>
      <w:r w:rsidRPr="00B0047E">
        <w:rPr>
          <w:rFonts w:cs="Arial"/>
        </w:rPr>
        <w:t xml:space="preserve"> </w:t>
      </w:r>
      <w:r w:rsidRPr="00FA659C">
        <w:rPr>
          <w:rFonts w:cs="Arial"/>
          <w:szCs w:val="24"/>
        </w:rPr>
        <w:t xml:space="preserve">by the legislation, </w:t>
      </w:r>
      <w:r>
        <w:rPr>
          <w:rFonts w:cs="Arial"/>
          <w:szCs w:val="24"/>
        </w:rPr>
        <w:t xml:space="preserve">Scottish Ministers and </w:t>
      </w:r>
      <w:r w:rsidRPr="00FA659C">
        <w:rPr>
          <w:rFonts w:cs="Arial"/>
          <w:szCs w:val="24"/>
        </w:rPr>
        <w:t>H</w:t>
      </w:r>
      <w:r>
        <w:rPr>
          <w:rFonts w:cs="Arial"/>
          <w:szCs w:val="24"/>
        </w:rPr>
        <w:t>ealthcare Improvement Scotland will be advised when</w:t>
      </w:r>
      <w:r w:rsidRPr="00FA659C">
        <w:rPr>
          <w:rFonts w:cs="Arial"/>
          <w:szCs w:val="24"/>
        </w:rPr>
        <w:t xml:space="preserve"> this report has been published on </w:t>
      </w:r>
      <w:r>
        <w:rPr>
          <w:rFonts w:cs="Arial"/>
          <w:szCs w:val="24"/>
        </w:rPr>
        <w:t>the NHS Ayrshire and Arran publi</w:t>
      </w:r>
      <w:r w:rsidRPr="00FA659C">
        <w:rPr>
          <w:rFonts w:cs="Arial"/>
          <w:szCs w:val="24"/>
        </w:rPr>
        <w:t>c website</w:t>
      </w:r>
      <w:r>
        <w:rPr>
          <w:rFonts w:cs="Arial"/>
          <w:szCs w:val="24"/>
        </w:rPr>
        <w:t>.</w:t>
      </w:r>
    </w:p>
    <w:p w14:paraId="6A57B0CD" w14:textId="77777777" w:rsidR="0072513C" w:rsidRDefault="0072513C" w:rsidP="0072513C">
      <w:pPr>
        <w:ind w:right="119"/>
        <w:rPr>
          <w:rFonts w:cs="Arial"/>
          <w:color w:val="00B0F0"/>
        </w:rPr>
      </w:pPr>
    </w:p>
    <w:p w14:paraId="41268E60" w14:textId="20A564D5" w:rsidR="0072513C" w:rsidRPr="00A64DF0" w:rsidRDefault="0072513C" w:rsidP="0072513C">
      <w:pPr>
        <w:ind w:right="119"/>
        <w:rPr>
          <w:rFonts w:cs="Arial"/>
        </w:rPr>
      </w:pPr>
      <w:r>
        <w:rPr>
          <w:rFonts w:cs="Arial"/>
        </w:rPr>
        <w:t>This D</w:t>
      </w:r>
      <w:r w:rsidR="00BE4E89">
        <w:rPr>
          <w:rFonts w:cs="Arial"/>
        </w:rPr>
        <w:t>o</w:t>
      </w:r>
      <w:r>
        <w:rPr>
          <w:rFonts w:cs="Arial"/>
        </w:rPr>
        <w:t>C Annual Report 2024-2025</w:t>
      </w:r>
      <w:r w:rsidRPr="00A64DF0">
        <w:rPr>
          <w:rFonts w:cs="Arial"/>
        </w:rPr>
        <w:t xml:space="preserve"> will have an addendum </w:t>
      </w:r>
      <w:r>
        <w:rPr>
          <w:rFonts w:cs="Arial"/>
        </w:rPr>
        <w:t>produced later in the year (2025) to address additional</w:t>
      </w:r>
      <w:r w:rsidRPr="00A64DF0">
        <w:rPr>
          <w:rFonts w:cs="Arial"/>
        </w:rPr>
        <w:t xml:space="preserve"> adverse event reviews</w:t>
      </w:r>
      <w:r>
        <w:rPr>
          <w:rFonts w:cs="Arial"/>
        </w:rPr>
        <w:t xml:space="preserve"> which activate D</w:t>
      </w:r>
      <w:r w:rsidR="00BE4E89">
        <w:rPr>
          <w:rFonts w:cs="Arial"/>
        </w:rPr>
        <w:t>o</w:t>
      </w:r>
      <w:r>
        <w:rPr>
          <w:rFonts w:cs="Arial"/>
        </w:rPr>
        <w:t>C</w:t>
      </w:r>
      <w:r w:rsidRPr="00A64DF0">
        <w:rPr>
          <w:rFonts w:cs="Arial"/>
        </w:rPr>
        <w:t xml:space="preserve"> </w:t>
      </w:r>
      <w:r>
        <w:rPr>
          <w:rFonts w:cs="Arial"/>
        </w:rPr>
        <w:t>and the DC process requirements which are</w:t>
      </w:r>
      <w:r w:rsidRPr="00A64DF0">
        <w:rPr>
          <w:rFonts w:cs="Arial"/>
        </w:rPr>
        <w:t xml:space="preserve"> not yet concluded at the time of publishing this report. </w:t>
      </w:r>
    </w:p>
    <w:p w14:paraId="7F30D3E9" w14:textId="77777777" w:rsidR="0072513C" w:rsidRPr="00A64DF0" w:rsidRDefault="0072513C" w:rsidP="0072513C">
      <w:pPr>
        <w:ind w:right="119"/>
        <w:rPr>
          <w:rFonts w:cs="Arial"/>
        </w:rPr>
      </w:pPr>
    </w:p>
    <w:p w14:paraId="0F3E8616" w14:textId="77777777" w:rsidR="0072513C" w:rsidRPr="004C7189" w:rsidRDefault="0072513C" w:rsidP="0072513C">
      <w:pPr>
        <w:rPr>
          <w:rFonts w:cs="Arial"/>
          <w:color w:val="00B050"/>
          <w:szCs w:val="24"/>
        </w:rPr>
      </w:pPr>
      <w:r>
        <w:t>The organisational duty of candour lead in NHS Ayrshire and Arran is the Executive Nurse Director, Jennifer Wilson.</w:t>
      </w:r>
    </w:p>
    <w:p w14:paraId="489351C0" w14:textId="666C65EA" w:rsidR="00974C92" w:rsidRPr="00A64DF0" w:rsidRDefault="00974C92" w:rsidP="00974C92">
      <w:pPr>
        <w:ind w:left="-284"/>
        <w:rPr>
          <w:rFonts w:cs="Arial"/>
          <w:b/>
          <w:sz w:val="28"/>
          <w:szCs w:val="28"/>
        </w:rPr>
      </w:pPr>
    </w:p>
    <w:sectPr w:rsidR="00974C92" w:rsidRPr="00A64DF0" w:rsidSect="00926CEF">
      <w:footerReference w:type="default" r:id="rId12"/>
      <w:pgSz w:w="11906" w:h="16838" w:code="9"/>
      <w:pgMar w:top="851" w:right="991" w:bottom="851"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295C9" w14:textId="77777777" w:rsidR="00E57DBE" w:rsidRDefault="00E57DBE" w:rsidP="00753EE2">
      <w:r>
        <w:separator/>
      </w:r>
    </w:p>
  </w:endnote>
  <w:endnote w:type="continuationSeparator" w:id="0">
    <w:p w14:paraId="19FABA46" w14:textId="77777777" w:rsidR="00E57DBE" w:rsidRDefault="00E57DBE" w:rsidP="0075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57651" w14:textId="7F5E241D" w:rsidR="006945A4" w:rsidRDefault="006945A4">
    <w:pPr>
      <w:pStyle w:val="Footer"/>
    </w:pPr>
  </w:p>
  <w:p w14:paraId="4BD7CF73" w14:textId="77E3F5EB" w:rsidR="00F4051A" w:rsidRDefault="00F4051A">
    <w:pPr>
      <w:pStyle w:val="Footer"/>
    </w:pPr>
  </w:p>
  <w:p w14:paraId="08A7F545" w14:textId="77777777" w:rsidR="00753EE2" w:rsidRDefault="00753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CE11D" w14:textId="77777777" w:rsidR="00E57DBE" w:rsidRDefault="00E57DBE" w:rsidP="00753EE2">
      <w:r>
        <w:separator/>
      </w:r>
    </w:p>
  </w:footnote>
  <w:footnote w:type="continuationSeparator" w:id="0">
    <w:p w14:paraId="187167E2" w14:textId="77777777" w:rsidR="00E57DBE" w:rsidRDefault="00E57DBE" w:rsidP="00753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465D91"/>
    <w:multiLevelType w:val="hybridMultilevel"/>
    <w:tmpl w:val="9A42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2086B"/>
    <w:multiLevelType w:val="multilevel"/>
    <w:tmpl w:val="3DFA23B2"/>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9411CB"/>
    <w:multiLevelType w:val="hybridMultilevel"/>
    <w:tmpl w:val="BECC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C6F"/>
    <w:multiLevelType w:val="hybridMultilevel"/>
    <w:tmpl w:val="CE5E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87614"/>
    <w:multiLevelType w:val="hybridMultilevel"/>
    <w:tmpl w:val="0FC8B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FA5A9E"/>
    <w:multiLevelType w:val="hybridMultilevel"/>
    <w:tmpl w:val="F3D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52CEA"/>
    <w:multiLevelType w:val="hybridMultilevel"/>
    <w:tmpl w:val="D6C27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50BCC"/>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844D4"/>
    <w:multiLevelType w:val="hybridMultilevel"/>
    <w:tmpl w:val="71CC0424"/>
    <w:lvl w:ilvl="0" w:tplc="08090001">
      <w:start w:val="1"/>
      <w:numFmt w:val="bullet"/>
      <w:lvlText w:val=""/>
      <w:lvlJc w:val="left"/>
      <w:pPr>
        <w:ind w:left="754" w:hanging="360"/>
      </w:pPr>
      <w:rPr>
        <w:rFonts w:ascii="Symbol" w:hAnsi="Symbol" w:hint="default"/>
      </w:rPr>
    </w:lvl>
    <w:lvl w:ilvl="1" w:tplc="08090019">
      <w:start w:val="1"/>
      <w:numFmt w:val="lowerLetter"/>
      <w:lvlText w:val="%2."/>
      <w:lvlJc w:val="left"/>
      <w:pPr>
        <w:ind w:left="1636"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0" w15:restartNumberingAfterBreak="0">
    <w:nsid w:val="169F78B9"/>
    <w:multiLevelType w:val="multilevel"/>
    <w:tmpl w:val="858CD70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DC1E16"/>
    <w:multiLevelType w:val="hybridMultilevel"/>
    <w:tmpl w:val="EC68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5CCF"/>
    <w:multiLevelType w:val="hybridMultilevel"/>
    <w:tmpl w:val="67DE0A4C"/>
    <w:lvl w:ilvl="0" w:tplc="81145CE0">
      <w:start w:val="1"/>
      <w:numFmt w:val="bullet"/>
      <w:lvlText w:val="•"/>
      <w:lvlJc w:val="left"/>
      <w:pPr>
        <w:tabs>
          <w:tab w:val="num" w:pos="720"/>
        </w:tabs>
        <w:ind w:left="720" w:hanging="360"/>
      </w:pPr>
      <w:rPr>
        <w:rFonts w:ascii="Arial" w:hAnsi="Arial" w:hint="default"/>
      </w:rPr>
    </w:lvl>
    <w:lvl w:ilvl="1" w:tplc="85E4F090" w:tentative="1">
      <w:start w:val="1"/>
      <w:numFmt w:val="bullet"/>
      <w:lvlText w:val="•"/>
      <w:lvlJc w:val="left"/>
      <w:pPr>
        <w:tabs>
          <w:tab w:val="num" w:pos="1440"/>
        </w:tabs>
        <w:ind w:left="1440" w:hanging="360"/>
      </w:pPr>
      <w:rPr>
        <w:rFonts w:ascii="Arial" w:hAnsi="Arial" w:hint="default"/>
      </w:rPr>
    </w:lvl>
    <w:lvl w:ilvl="2" w:tplc="7B3C3256" w:tentative="1">
      <w:start w:val="1"/>
      <w:numFmt w:val="bullet"/>
      <w:lvlText w:val="•"/>
      <w:lvlJc w:val="left"/>
      <w:pPr>
        <w:tabs>
          <w:tab w:val="num" w:pos="2160"/>
        </w:tabs>
        <w:ind w:left="2160" w:hanging="360"/>
      </w:pPr>
      <w:rPr>
        <w:rFonts w:ascii="Arial" w:hAnsi="Arial" w:hint="default"/>
      </w:rPr>
    </w:lvl>
    <w:lvl w:ilvl="3" w:tplc="746496CC" w:tentative="1">
      <w:start w:val="1"/>
      <w:numFmt w:val="bullet"/>
      <w:lvlText w:val="•"/>
      <w:lvlJc w:val="left"/>
      <w:pPr>
        <w:tabs>
          <w:tab w:val="num" w:pos="2880"/>
        </w:tabs>
        <w:ind w:left="2880" w:hanging="360"/>
      </w:pPr>
      <w:rPr>
        <w:rFonts w:ascii="Arial" w:hAnsi="Arial" w:hint="default"/>
      </w:rPr>
    </w:lvl>
    <w:lvl w:ilvl="4" w:tplc="A56EEF6C" w:tentative="1">
      <w:start w:val="1"/>
      <w:numFmt w:val="bullet"/>
      <w:lvlText w:val="•"/>
      <w:lvlJc w:val="left"/>
      <w:pPr>
        <w:tabs>
          <w:tab w:val="num" w:pos="3600"/>
        </w:tabs>
        <w:ind w:left="3600" w:hanging="360"/>
      </w:pPr>
      <w:rPr>
        <w:rFonts w:ascii="Arial" w:hAnsi="Arial" w:hint="default"/>
      </w:rPr>
    </w:lvl>
    <w:lvl w:ilvl="5" w:tplc="8BE40E58" w:tentative="1">
      <w:start w:val="1"/>
      <w:numFmt w:val="bullet"/>
      <w:lvlText w:val="•"/>
      <w:lvlJc w:val="left"/>
      <w:pPr>
        <w:tabs>
          <w:tab w:val="num" w:pos="4320"/>
        </w:tabs>
        <w:ind w:left="4320" w:hanging="360"/>
      </w:pPr>
      <w:rPr>
        <w:rFonts w:ascii="Arial" w:hAnsi="Arial" w:hint="default"/>
      </w:rPr>
    </w:lvl>
    <w:lvl w:ilvl="6" w:tplc="9C946F40" w:tentative="1">
      <w:start w:val="1"/>
      <w:numFmt w:val="bullet"/>
      <w:lvlText w:val="•"/>
      <w:lvlJc w:val="left"/>
      <w:pPr>
        <w:tabs>
          <w:tab w:val="num" w:pos="5040"/>
        </w:tabs>
        <w:ind w:left="5040" w:hanging="360"/>
      </w:pPr>
      <w:rPr>
        <w:rFonts w:ascii="Arial" w:hAnsi="Arial" w:hint="default"/>
      </w:rPr>
    </w:lvl>
    <w:lvl w:ilvl="7" w:tplc="58040F32" w:tentative="1">
      <w:start w:val="1"/>
      <w:numFmt w:val="bullet"/>
      <w:lvlText w:val="•"/>
      <w:lvlJc w:val="left"/>
      <w:pPr>
        <w:tabs>
          <w:tab w:val="num" w:pos="5760"/>
        </w:tabs>
        <w:ind w:left="5760" w:hanging="360"/>
      </w:pPr>
      <w:rPr>
        <w:rFonts w:ascii="Arial" w:hAnsi="Arial" w:hint="default"/>
      </w:rPr>
    </w:lvl>
    <w:lvl w:ilvl="8" w:tplc="338282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7741E1"/>
    <w:multiLevelType w:val="hybridMultilevel"/>
    <w:tmpl w:val="CEEA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94D5C"/>
    <w:multiLevelType w:val="hybridMultilevel"/>
    <w:tmpl w:val="01B4B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D626E15"/>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9E7135"/>
    <w:multiLevelType w:val="hybridMultilevel"/>
    <w:tmpl w:val="BE8A662A"/>
    <w:lvl w:ilvl="0" w:tplc="D43C8C42">
      <w:start w:val="1"/>
      <w:numFmt w:val="bullet"/>
      <w:lvlText w:val=""/>
      <w:lvlJc w:val="left"/>
      <w:pPr>
        <w:ind w:left="1780" w:hanging="360"/>
      </w:pPr>
      <w:rPr>
        <w:rFonts w:ascii="Symbol" w:hAnsi="Symbol"/>
      </w:rPr>
    </w:lvl>
    <w:lvl w:ilvl="1" w:tplc="667E7564">
      <w:start w:val="1"/>
      <w:numFmt w:val="bullet"/>
      <w:lvlText w:val=""/>
      <w:lvlJc w:val="left"/>
      <w:pPr>
        <w:ind w:left="1780" w:hanging="360"/>
      </w:pPr>
      <w:rPr>
        <w:rFonts w:ascii="Symbol" w:hAnsi="Symbol"/>
      </w:rPr>
    </w:lvl>
    <w:lvl w:ilvl="2" w:tplc="1B2E3E16">
      <w:start w:val="1"/>
      <w:numFmt w:val="bullet"/>
      <w:lvlText w:val=""/>
      <w:lvlJc w:val="left"/>
      <w:pPr>
        <w:ind w:left="1780" w:hanging="360"/>
      </w:pPr>
      <w:rPr>
        <w:rFonts w:ascii="Symbol" w:hAnsi="Symbol"/>
      </w:rPr>
    </w:lvl>
    <w:lvl w:ilvl="3" w:tplc="5E569498">
      <w:start w:val="1"/>
      <w:numFmt w:val="bullet"/>
      <w:lvlText w:val=""/>
      <w:lvlJc w:val="left"/>
      <w:pPr>
        <w:ind w:left="1780" w:hanging="360"/>
      </w:pPr>
      <w:rPr>
        <w:rFonts w:ascii="Symbol" w:hAnsi="Symbol"/>
      </w:rPr>
    </w:lvl>
    <w:lvl w:ilvl="4" w:tplc="FF482274">
      <w:start w:val="1"/>
      <w:numFmt w:val="bullet"/>
      <w:lvlText w:val=""/>
      <w:lvlJc w:val="left"/>
      <w:pPr>
        <w:ind w:left="1780" w:hanging="360"/>
      </w:pPr>
      <w:rPr>
        <w:rFonts w:ascii="Symbol" w:hAnsi="Symbol"/>
      </w:rPr>
    </w:lvl>
    <w:lvl w:ilvl="5" w:tplc="3F8A22E0">
      <w:start w:val="1"/>
      <w:numFmt w:val="bullet"/>
      <w:lvlText w:val=""/>
      <w:lvlJc w:val="left"/>
      <w:pPr>
        <w:ind w:left="1780" w:hanging="360"/>
      </w:pPr>
      <w:rPr>
        <w:rFonts w:ascii="Symbol" w:hAnsi="Symbol"/>
      </w:rPr>
    </w:lvl>
    <w:lvl w:ilvl="6" w:tplc="38C6635A">
      <w:start w:val="1"/>
      <w:numFmt w:val="bullet"/>
      <w:lvlText w:val=""/>
      <w:lvlJc w:val="left"/>
      <w:pPr>
        <w:ind w:left="1780" w:hanging="360"/>
      </w:pPr>
      <w:rPr>
        <w:rFonts w:ascii="Symbol" w:hAnsi="Symbol"/>
      </w:rPr>
    </w:lvl>
    <w:lvl w:ilvl="7" w:tplc="0ADC0AB8">
      <w:start w:val="1"/>
      <w:numFmt w:val="bullet"/>
      <w:lvlText w:val=""/>
      <w:lvlJc w:val="left"/>
      <w:pPr>
        <w:ind w:left="1780" w:hanging="360"/>
      </w:pPr>
      <w:rPr>
        <w:rFonts w:ascii="Symbol" w:hAnsi="Symbol"/>
      </w:rPr>
    </w:lvl>
    <w:lvl w:ilvl="8" w:tplc="A686D1EA">
      <w:start w:val="1"/>
      <w:numFmt w:val="bullet"/>
      <w:lvlText w:val=""/>
      <w:lvlJc w:val="left"/>
      <w:pPr>
        <w:ind w:left="1780" w:hanging="360"/>
      </w:pPr>
      <w:rPr>
        <w:rFonts w:ascii="Symbol" w:hAnsi="Symbol"/>
      </w:rPr>
    </w:lvl>
  </w:abstractNum>
  <w:abstractNum w:abstractNumId="17" w15:restartNumberingAfterBreak="0">
    <w:nsid w:val="21EE717F"/>
    <w:multiLevelType w:val="hybridMultilevel"/>
    <w:tmpl w:val="D892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8286B"/>
    <w:multiLevelType w:val="hybridMultilevel"/>
    <w:tmpl w:val="BC3E22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0" w15:restartNumberingAfterBreak="0">
    <w:nsid w:val="28BE354A"/>
    <w:multiLevelType w:val="hybridMultilevel"/>
    <w:tmpl w:val="4C2A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46F52"/>
    <w:multiLevelType w:val="multilevel"/>
    <w:tmpl w:val="55A0743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3631C0B"/>
    <w:multiLevelType w:val="hybridMultilevel"/>
    <w:tmpl w:val="547ECEDE"/>
    <w:lvl w:ilvl="0" w:tplc="AC3055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11112A"/>
    <w:multiLevelType w:val="hybridMultilevel"/>
    <w:tmpl w:val="360A93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35595587"/>
    <w:multiLevelType w:val="hybridMultilevel"/>
    <w:tmpl w:val="E718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2C0286"/>
    <w:multiLevelType w:val="hybridMultilevel"/>
    <w:tmpl w:val="1170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D414D0"/>
    <w:multiLevelType w:val="multilevel"/>
    <w:tmpl w:val="2578E74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1A76B36"/>
    <w:multiLevelType w:val="hybridMultilevel"/>
    <w:tmpl w:val="7BCEF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D90ED0"/>
    <w:multiLevelType w:val="hybridMultilevel"/>
    <w:tmpl w:val="115AEE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4A6607"/>
    <w:multiLevelType w:val="hybridMultilevel"/>
    <w:tmpl w:val="E598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1F2CAA"/>
    <w:multiLevelType w:val="multilevel"/>
    <w:tmpl w:val="57EA3206"/>
    <w:lvl w:ilvl="0">
      <w:start w:val="1"/>
      <w:numFmt w:val="decimal"/>
      <w:lvlText w:val="%1."/>
      <w:lvlJc w:val="left"/>
      <w:pPr>
        <w:tabs>
          <w:tab w:val="num" w:pos="720"/>
        </w:tabs>
        <w:ind w:left="720" w:hanging="360"/>
      </w:p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374556"/>
    <w:multiLevelType w:val="hybridMultilevel"/>
    <w:tmpl w:val="914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E9752A"/>
    <w:multiLevelType w:val="hybridMultilevel"/>
    <w:tmpl w:val="2CAE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C6A93"/>
    <w:multiLevelType w:val="hybridMultilevel"/>
    <w:tmpl w:val="D4B2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17CEB"/>
    <w:multiLevelType w:val="hybridMultilevel"/>
    <w:tmpl w:val="2430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7" w15:restartNumberingAfterBreak="0">
    <w:nsid w:val="6EC42E69"/>
    <w:multiLevelType w:val="hybridMultilevel"/>
    <w:tmpl w:val="3C866102"/>
    <w:lvl w:ilvl="0" w:tplc="EF26408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46E6472"/>
    <w:multiLevelType w:val="hybridMultilevel"/>
    <w:tmpl w:val="5AF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836E2"/>
    <w:multiLevelType w:val="hybridMultilevel"/>
    <w:tmpl w:val="A198A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E32E96"/>
    <w:multiLevelType w:val="hybridMultilevel"/>
    <w:tmpl w:val="E9E2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E3B0C"/>
    <w:multiLevelType w:val="hybridMultilevel"/>
    <w:tmpl w:val="EB1294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0"/>
  </w:num>
  <w:num w:numId="3">
    <w:abstractNumId w:val="0"/>
  </w:num>
  <w:num w:numId="4">
    <w:abstractNumId w:val="0"/>
  </w:num>
  <w:num w:numId="5">
    <w:abstractNumId w:val="36"/>
  </w:num>
  <w:num w:numId="6">
    <w:abstractNumId w:val="0"/>
  </w:num>
  <w:num w:numId="7">
    <w:abstractNumId w:val="38"/>
  </w:num>
  <w:num w:numId="8">
    <w:abstractNumId w:val="3"/>
  </w:num>
  <w:num w:numId="9">
    <w:abstractNumId w:val="2"/>
  </w:num>
  <w:num w:numId="10">
    <w:abstractNumId w:val="18"/>
  </w:num>
  <w:num w:numId="11">
    <w:abstractNumId w:val="27"/>
  </w:num>
  <w:num w:numId="12">
    <w:abstractNumId w:val="35"/>
  </w:num>
  <w:num w:numId="13">
    <w:abstractNumId w:val="17"/>
  </w:num>
  <w:num w:numId="14">
    <w:abstractNumId w:val="1"/>
  </w:num>
  <w:num w:numId="15">
    <w:abstractNumId w:val="11"/>
  </w:num>
  <w:num w:numId="16">
    <w:abstractNumId w:val="2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22"/>
  </w:num>
  <w:num w:numId="20">
    <w:abstractNumId w:val="19"/>
  </w:num>
  <w:num w:numId="21">
    <w:abstractNumId w:val="21"/>
  </w:num>
  <w:num w:numId="22">
    <w:abstractNumId w:val="14"/>
  </w:num>
  <w:num w:numId="23">
    <w:abstractNumId w:val="8"/>
  </w:num>
  <w:num w:numId="24">
    <w:abstractNumId w:val="15"/>
  </w:num>
  <w:num w:numId="25">
    <w:abstractNumId w:val="24"/>
  </w:num>
  <w:num w:numId="26">
    <w:abstractNumId w:val="13"/>
  </w:num>
  <w:num w:numId="27">
    <w:abstractNumId w:val="29"/>
  </w:num>
  <w:num w:numId="28">
    <w:abstractNumId w:val="28"/>
  </w:num>
  <w:num w:numId="29">
    <w:abstractNumId w:val="5"/>
  </w:num>
  <w:num w:numId="30">
    <w:abstractNumId w:val="33"/>
  </w:num>
  <w:num w:numId="31">
    <w:abstractNumId w:val="3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9"/>
  </w:num>
  <w:num w:numId="35">
    <w:abstractNumId w:val="31"/>
  </w:num>
  <w:num w:numId="36">
    <w:abstractNumId w:val="10"/>
  </w:num>
  <w:num w:numId="37">
    <w:abstractNumId w:val="12"/>
  </w:num>
  <w:num w:numId="38">
    <w:abstractNumId w:val="41"/>
  </w:num>
  <w:num w:numId="39">
    <w:abstractNumId w:val="7"/>
  </w:num>
  <w:num w:numId="40">
    <w:abstractNumId w:val="16"/>
  </w:num>
  <w:num w:numId="41">
    <w:abstractNumId w:val="39"/>
  </w:num>
  <w:num w:numId="42">
    <w:abstractNumId w:val="23"/>
  </w:num>
  <w:num w:numId="43">
    <w:abstractNumId w:val="4"/>
  </w:num>
  <w:num w:numId="44">
    <w:abstractNumId w:val="20"/>
  </w:num>
  <w:num w:numId="45">
    <w:abstractNumId w:val="32"/>
  </w:num>
  <w:num w:numId="46">
    <w:abstractNumId w:val="40"/>
  </w:num>
  <w:num w:numId="47">
    <w:abstractNumId w:val="26"/>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6E"/>
    <w:rsid w:val="00020671"/>
    <w:rsid w:val="00027C27"/>
    <w:rsid w:val="0003501B"/>
    <w:rsid w:val="0003549A"/>
    <w:rsid w:val="00036FF3"/>
    <w:rsid w:val="00046840"/>
    <w:rsid w:val="00061829"/>
    <w:rsid w:val="00081AF9"/>
    <w:rsid w:val="0008761E"/>
    <w:rsid w:val="000B29A3"/>
    <w:rsid w:val="000C0CF4"/>
    <w:rsid w:val="000C581E"/>
    <w:rsid w:val="000D13ED"/>
    <w:rsid w:val="000F191A"/>
    <w:rsid w:val="001222EE"/>
    <w:rsid w:val="00133F69"/>
    <w:rsid w:val="00135B95"/>
    <w:rsid w:val="00143F01"/>
    <w:rsid w:val="001446E3"/>
    <w:rsid w:val="001471AD"/>
    <w:rsid w:val="001746F5"/>
    <w:rsid w:val="001A0F32"/>
    <w:rsid w:val="001A53C6"/>
    <w:rsid w:val="001B094F"/>
    <w:rsid w:val="001B33F2"/>
    <w:rsid w:val="001B3DAA"/>
    <w:rsid w:val="001C0D62"/>
    <w:rsid w:val="001E45DD"/>
    <w:rsid w:val="002003E5"/>
    <w:rsid w:val="00220E11"/>
    <w:rsid w:val="00221BAA"/>
    <w:rsid w:val="002226F7"/>
    <w:rsid w:val="00226835"/>
    <w:rsid w:val="00230029"/>
    <w:rsid w:val="00235CE9"/>
    <w:rsid w:val="00246586"/>
    <w:rsid w:val="002523CF"/>
    <w:rsid w:val="00255F37"/>
    <w:rsid w:val="002631CE"/>
    <w:rsid w:val="00277EF6"/>
    <w:rsid w:val="00281579"/>
    <w:rsid w:val="0028604E"/>
    <w:rsid w:val="00296368"/>
    <w:rsid w:val="002A7366"/>
    <w:rsid w:val="002B4891"/>
    <w:rsid w:val="002C09E2"/>
    <w:rsid w:val="002D068A"/>
    <w:rsid w:val="002E7149"/>
    <w:rsid w:val="002F27DE"/>
    <w:rsid w:val="002F4202"/>
    <w:rsid w:val="002F5B94"/>
    <w:rsid w:val="00306C61"/>
    <w:rsid w:val="00307B4B"/>
    <w:rsid w:val="00354927"/>
    <w:rsid w:val="003572DB"/>
    <w:rsid w:val="00372628"/>
    <w:rsid w:val="0037582B"/>
    <w:rsid w:val="00393A3B"/>
    <w:rsid w:val="003A5676"/>
    <w:rsid w:val="003A6153"/>
    <w:rsid w:val="003B4B94"/>
    <w:rsid w:val="003C06E5"/>
    <w:rsid w:val="003D5DB7"/>
    <w:rsid w:val="003F1ED3"/>
    <w:rsid w:val="003F7C89"/>
    <w:rsid w:val="00404B35"/>
    <w:rsid w:val="00412FBF"/>
    <w:rsid w:val="00437434"/>
    <w:rsid w:val="00457AA2"/>
    <w:rsid w:val="00461701"/>
    <w:rsid w:val="0046434B"/>
    <w:rsid w:val="0048007B"/>
    <w:rsid w:val="004A677F"/>
    <w:rsid w:val="004B0AE1"/>
    <w:rsid w:val="004B54B9"/>
    <w:rsid w:val="004B6128"/>
    <w:rsid w:val="004D37E3"/>
    <w:rsid w:val="004E6604"/>
    <w:rsid w:val="004F680C"/>
    <w:rsid w:val="00511C1E"/>
    <w:rsid w:val="00517F8C"/>
    <w:rsid w:val="00520A46"/>
    <w:rsid w:val="005225FF"/>
    <w:rsid w:val="005273AB"/>
    <w:rsid w:val="00540718"/>
    <w:rsid w:val="00541F93"/>
    <w:rsid w:val="00542189"/>
    <w:rsid w:val="00580FB6"/>
    <w:rsid w:val="005D6B5F"/>
    <w:rsid w:val="005E39B9"/>
    <w:rsid w:val="005E6114"/>
    <w:rsid w:val="00601517"/>
    <w:rsid w:val="00612280"/>
    <w:rsid w:val="00643D6E"/>
    <w:rsid w:val="0066360C"/>
    <w:rsid w:val="0068159C"/>
    <w:rsid w:val="006945A4"/>
    <w:rsid w:val="00695A2F"/>
    <w:rsid w:val="006A152E"/>
    <w:rsid w:val="006A7A24"/>
    <w:rsid w:val="006B13EA"/>
    <w:rsid w:val="006C0752"/>
    <w:rsid w:val="006C1112"/>
    <w:rsid w:val="006C52E8"/>
    <w:rsid w:val="006D3DAC"/>
    <w:rsid w:val="006F3B72"/>
    <w:rsid w:val="006F4270"/>
    <w:rsid w:val="00701F51"/>
    <w:rsid w:val="007025AE"/>
    <w:rsid w:val="00706114"/>
    <w:rsid w:val="00706E56"/>
    <w:rsid w:val="007101B7"/>
    <w:rsid w:val="0072513C"/>
    <w:rsid w:val="00753EE2"/>
    <w:rsid w:val="007862DF"/>
    <w:rsid w:val="00790EFF"/>
    <w:rsid w:val="007C159A"/>
    <w:rsid w:val="007D10DA"/>
    <w:rsid w:val="007D121E"/>
    <w:rsid w:val="007D1294"/>
    <w:rsid w:val="007D3241"/>
    <w:rsid w:val="007F639B"/>
    <w:rsid w:val="00812A9E"/>
    <w:rsid w:val="00826D2C"/>
    <w:rsid w:val="00840AB5"/>
    <w:rsid w:val="008549FC"/>
    <w:rsid w:val="00857548"/>
    <w:rsid w:val="0086025F"/>
    <w:rsid w:val="008657EE"/>
    <w:rsid w:val="00896009"/>
    <w:rsid w:val="008A5E1B"/>
    <w:rsid w:val="008B039E"/>
    <w:rsid w:val="008B1087"/>
    <w:rsid w:val="008B67A0"/>
    <w:rsid w:val="008D611B"/>
    <w:rsid w:val="008F00E9"/>
    <w:rsid w:val="008F5757"/>
    <w:rsid w:val="00900D2A"/>
    <w:rsid w:val="00906CAA"/>
    <w:rsid w:val="00913ABF"/>
    <w:rsid w:val="009223B8"/>
    <w:rsid w:val="00926464"/>
    <w:rsid w:val="00926CEF"/>
    <w:rsid w:val="00931FB1"/>
    <w:rsid w:val="00934E26"/>
    <w:rsid w:val="00937C15"/>
    <w:rsid w:val="00953CD9"/>
    <w:rsid w:val="00955C7A"/>
    <w:rsid w:val="00963192"/>
    <w:rsid w:val="0096346D"/>
    <w:rsid w:val="00965260"/>
    <w:rsid w:val="00974C92"/>
    <w:rsid w:val="0098416F"/>
    <w:rsid w:val="009A4DB3"/>
    <w:rsid w:val="009B7615"/>
    <w:rsid w:val="009C75A8"/>
    <w:rsid w:val="00A055AA"/>
    <w:rsid w:val="00A129AB"/>
    <w:rsid w:val="00A13F88"/>
    <w:rsid w:val="00A21916"/>
    <w:rsid w:val="00A25164"/>
    <w:rsid w:val="00A33F13"/>
    <w:rsid w:val="00A34093"/>
    <w:rsid w:val="00A45345"/>
    <w:rsid w:val="00A5554F"/>
    <w:rsid w:val="00A61A8B"/>
    <w:rsid w:val="00A64DF0"/>
    <w:rsid w:val="00A83B5C"/>
    <w:rsid w:val="00A91C60"/>
    <w:rsid w:val="00A95BA5"/>
    <w:rsid w:val="00AB2BF7"/>
    <w:rsid w:val="00AB3BAA"/>
    <w:rsid w:val="00AB5BBA"/>
    <w:rsid w:val="00B045FB"/>
    <w:rsid w:val="00B15425"/>
    <w:rsid w:val="00B50DC4"/>
    <w:rsid w:val="00B51BDC"/>
    <w:rsid w:val="00B52684"/>
    <w:rsid w:val="00B55694"/>
    <w:rsid w:val="00B561C0"/>
    <w:rsid w:val="00B70C14"/>
    <w:rsid w:val="00B746AD"/>
    <w:rsid w:val="00B773CE"/>
    <w:rsid w:val="00B87B0D"/>
    <w:rsid w:val="00BA4A9E"/>
    <w:rsid w:val="00BC2191"/>
    <w:rsid w:val="00BC4BE9"/>
    <w:rsid w:val="00BD238D"/>
    <w:rsid w:val="00BE2B57"/>
    <w:rsid w:val="00BE4E89"/>
    <w:rsid w:val="00BF0CA6"/>
    <w:rsid w:val="00BF22DD"/>
    <w:rsid w:val="00BF2793"/>
    <w:rsid w:val="00BF2E2E"/>
    <w:rsid w:val="00C06E06"/>
    <w:rsid w:val="00C1712A"/>
    <w:rsid w:val="00C453E5"/>
    <w:rsid w:val="00C62F19"/>
    <w:rsid w:val="00C7585E"/>
    <w:rsid w:val="00C91823"/>
    <w:rsid w:val="00C977DB"/>
    <w:rsid w:val="00CA667D"/>
    <w:rsid w:val="00CB0094"/>
    <w:rsid w:val="00CB24B8"/>
    <w:rsid w:val="00CB4F41"/>
    <w:rsid w:val="00CD2196"/>
    <w:rsid w:val="00CD6475"/>
    <w:rsid w:val="00CE445E"/>
    <w:rsid w:val="00CE5CA9"/>
    <w:rsid w:val="00D008AB"/>
    <w:rsid w:val="00D0556A"/>
    <w:rsid w:val="00D11CD0"/>
    <w:rsid w:val="00D17E2F"/>
    <w:rsid w:val="00D24BB5"/>
    <w:rsid w:val="00D25181"/>
    <w:rsid w:val="00D348D5"/>
    <w:rsid w:val="00D34D90"/>
    <w:rsid w:val="00D3514A"/>
    <w:rsid w:val="00D43317"/>
    <w:rsid w:val="00D669B8"/>
    <w:rsid w:val="00D6781B"/>
    <w:rsid w:val="00D7794A"/>
    <w:rsid w:val="00D8020D"/>
    <w:rsid w:val="00D809C3"/>
    <w:rsid w:val="00D9205B"/>
    <w:rsid w:val="00D94E35"/>
    <w:rsid w:val="00DB628F"/>
    <w:rsid w:val="00DC6E6C"/>
    <w:rsid w:val="00DD2875"/>
    <w:rsid w:val="00DE1144"/>
    <w:rsid w:val="00E0268C"/>
    <w:rsid w:val="00E04C2C"/>
    <w:rsid w:val="00E103DF"/>
    <w:rsid w:val="00E20140"/>
    <w:rsid w:val="00E257E5"/>
    <w:rsid w:val="00E279D9"/>
    <w:rsid w:val="00E342AA"/>
    <w:rsid w:val="00E57DBE"/>
    <w:rsid w:val="00E82327"/>
    <w:rsid w:val="00E90E3C"/>
    <w:rsid w:val="00E93AE7"/>
    <w:rsid w:val="00E956BE"/>
    <w:rsid w:val="00E95F9E"/>
    <w:rsid w:val="00EA2C0C"/>
    <w:rsid w:val="00EA6E8A"/>
    <w:rsid w:val="00EB1972"/>
    <w:rsid w:val="00EB4446"/>
    <w:rsid w:val="00EC7B9F"/>
    <w:rsid w:val="00EE3FF7"/>
    <w:rsid w:val="00EF3C9F"/>
    <w:rsid w:val="00EF4D83"/>
    <w:rsid w:val="00F015AD"/>
    <w:rsid w:val="00F06070"/>
    <w:rsid w:val="00F06A43"/>
    <w:rsid w:val="00F07531"/>
    <w:rsid w:val="00F1308E"/>
    <w:rsid w:val="00F15647"/>
    <w:rsid w:val="00F21290"/>
    <w:rsid w:val="00F23F5C"/>
    <w:rsid w:val="00F25CFE"/>
    <w:rsid w:val="00F4051A"/>
    <w:rsid w:val="00F55C8E"/>
    <w:rsid w:val="00FA4BC1"/>
    <w:rsid w:val="00FB3ACE"/>
    <w:rsid w:val="00FB7254"/>
    <w:rsid w:val="00FE6C0E"/>
    <w:rsid w:val="00FF011B"/>
    <w:rsid w:val="00FF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0115CD"/>
  <w15:chartTrackingRefBased/>
  <w15:docId w15:val="{608B5F7F-6003-40E7-9EF2-30A90AB2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64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007B"/>
    <w:rPr>
      <w:sz w:val="16"/>
      <w:szCs w:val="16"/>
    </w:rPr>
  </w:style>
  <w:style w:type="paragraph" w:styleId="CommentText">
    <w:name w:val="annotation text"/>
    <w:basedOn w:val="Normal"/>
    <w:link w:val="CommentTextChar"/>
    <w:uiPriority w:val="99"/>
    <w:unhideWhenUsed/>
    <w:rsid w:val="0048007B"/>
    <w:rPr>
      <w:sz w:val="20"/>
    </w:rPr>
  </w:style>
  <w:style w:type="character" w:customStyle="1" w:styleId="CommentTextChar">
    <w:name w:val="Comment Text Char"/>
    <w:basedOn w:val="DefaultParagraphFont"/>
    <w:link w:val="CommentText"/>
    <w:uiPriority w:val="99"/>
    <w:rsid w:val="0048007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7B"/>
    <w:rPr>
      <w:b/>
      <w:bCs/>
    </w:rPr>
  </w:style>
  <w:style w:type="character" w:customStyle="1" w:styleId="CommentSubjectChar">
    <w:name w:val="Comment Subject Char"/>
    <w:basedOn w:val="CommentTextChar"/>
    <w:link w:val="CommentSubject"/>
    <w:uiPriority w:val="99"/>
    <w:semiHidden/>
    <w:rsid w:val="0048007B"/>
    <w:rPr>
      <w:rFonts w:ascii="Arial" w:hAnsi="Arial" w:cs="Times New Roman"/>
      <w:b/>
      <w:bCs/>
      <w:sz w:val="20"/>
      <w:szCs w:val="20"/>
    </w:rPr>
  </w:style>
  <w:style w:type="paragraph" w:styleId="BalloonText">
    <w:name w:val="Balloon Text"/>
    <w:basedOn w:val="Normal"/>
    <w:link w:val="BalloonTextChar"/>
    <w:uiPriority w:val="99"/>
    <w:semiHidden/>
    <w:unhideWhenUsed/>
    <w:rsid w:val="00480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7B"/>
    <w:rPr>
      <w:rFonts w:ascii="Segoe UI" w:hAnsi="Segoe UI" w:cs="Segoe UI"/>
      <w:sz w:val="18"/>
      <w:szCs w:val="18"/>
    </w:rPr>
  </w:style>
  <w:style w:type="paragraph" w:styleId="ListParagraph">
    <w:name w:val="List Paragraph"/>
    <w:aliases w:val="6. Numbered Bullets,Recommendatio,F5 List Paragraph,List Paragraph2,MAIN CONTENT,List Paragraph12,Dot pt,List Paragraph1,Colorful List - Accent 11,No Spacing1,List Paragraph Char Char Char,Indicator Text,Numbered Para 1,Bullet Points,L"/>
    <w:basedOn w:val="Normal"/>
    <w:link w:val="ListParagraphChar"/>
    <w:uiPriority w:val="34"/>
    <w:qFormat/>
    <w:rsid w:val="0048007B"/>
    <w:pPr>
      <w:ind w:left="720"/>
      <w:contextualSpacing/>
    </w:pPr>
  </w:style>
  <w:style w:type="paragraph" w:styleId="BodyText">
    <w:name w:val="Body Text"/>
    <w:basedOn w:val="Normal"/>
    <w:link w:val="BodyTextChar"/>
    <w:rsid w:val="00EA2C0C"/>
    <w:pPr>
      <w:spacing w:after="120"/>
    </w:pPr>
    <w:rPr>
      <w:rFonts w:cs="Arial"/>
      <w:szCs w:val="24"/>
      <w:lang w:eastAsia="en-GB"/>
    </w:rPr>
  </w:style>
  <w:style w:type="character" w:customStyle="1" w:styleId="BodyTextChar">
    <w:name w:val="Body Text Char"/>
    <w:basedOn w:val="DefaultParagraphFont"/>
    <w:link w:val="BodyText"/>
    <w:rsid w:val="00EA2C0C"/>
    <w:rPr>
      <w:rFonts w:ascii="Arial" w:hAnsi="Arial" w:cs="Arial"/>
      <w:sz w:val="24"/>
      <w:szCs w:val="24"/>
      <w:lang w:eastAsia="en-GB"/>
    </w:rPr>
  </w:style>
  <w:style w:type="paragraph" w:customStyle="1" w:styleId="Default">
    <w:name w:val="Default"/>
    <w:rsid w:val="00A055AA"/>
    <w:pPr>
      <w:autoSpaceDE w:val="0"/>
      <w:autoSpaceDN w:val="0"/>
      <w:adjustRightInd w:val="0"/>
    </w:pPr>
    <w:rPr>
      <w:rFonts w:ascii="Arial" w:hAnsi="Arial" w:cs="Arial"/>
      <w:color w:val="000000"/>
      <w:sz w:val="24"/>
      <w:szCs w:val="24"/>
    </w:rPr>
  </w:style>
  <w:style w:type="paragraph" w:customStyle="1" w:styleId="nhsbase">
    <w:name w:val="nhs_base"/>
    <w:basedOn w:val="Normal"/>
    <w:uiPriority w:val="99"/>
    <w:rsid w:val="00081AF9"/>
    <w:rPr>
      <w:rFonts w:ascii="Times New Roman" w:hAnsi="Times New Roman"/>
      <w:kern w:val="16"/>
      <w:sz w:val="22"/>
      <w:lang w:eastAsia="en-GB"/>
    </w:rPr>
  </w:style>
  <w:style w:type="paragraph" w:styleId="Title">
    <w:name w:val="Title"/>
    <w:basedOn w:val="Normal"/>
    <w:link w:val="TitleChar"/>
    <w:qFormat/>
    <w:rsid w:val="00A91C60"/>
    <w:pPr>
      <w:spacing w:before="240" w:after="480"/>
    </w:pPr>
    <w:rPr>
      <w:b/>
      <w:color w:val="002060"/>
      <w:sz w:val="52"/>
    </w:rPr>
  </w:style>
  <w:style w:type="character" w:customStyle="1" w:styleId="TitleChar">
    <w:name w:val="Title Char"/>
    <w:basedOn w:val="DefaultParagraphFont"/>
    <w:link w:val="Title"/>
    <w:rsid w:val="00A91C60"/>
    <w:rPr>
      <w:rFonts w:ascii="Arial" w:hAnsi="Arial" w:cs="Times New Roman"/>
      <w:b/>
      <w:color w:val="002060"/>
      <w:sz w:val="52"/>
      <w:szCs w:val="20"/>
    </w:rPr>
  </w:style>
  <w:style w:type="character" w:customStyle="1" w:styleId="ListParagraphChar">
    <w:name w:val="List Paragraph Char"/>
    <w:aliases w:val="6. Numbered Bullets Char,Recommendatio Char,F5 List Paragraph Char,List Paragraph2 Char,MAIN CONTENT Char,List Paragraph12 Char,Dot pt Char,List Paragraph1 Char,Colorful List - Accent 11 Char,No Spacing1 Char,Indicator Text Char"/>
    <w:basedOn w:val="DefaultParagraphFont"/>
    <w:link w:val="ListParagraph"/>
    <w:uiPriority w:val="34"/>
    <w:qFormat/>
    <w:locked/>
    <w:rsid w:val="00A91C60"/>
    <w:rPr>
      <w:rFonts w:ascii="Arial" w:hAnsi="Arial" w:cs="Times New Roman"/>
      <w:sz w:val="24"/>
      <w:szCs w:val="20"/>
    </w:rPr>
  </w:style>
  <w:style w:type="character" w:styleId="Hyperlink">
    <w:name w:val="Hyperlink"/>
    <w:basedOn w:val="DefaultParagraphFont"/>
    <w:uiPriority w:val="99"/>
    <w:unhideWhenUsed/>
    <w:rsid w:val="00C7585E"/>
    <w:rPr>
      <w:color w:val="0563C1" w:themeColor="hyperlink"/>
      <w:u w:val="single"/>
    </w:rPr>
  </w:style>
  <w:style w:type="character" w:styleId="Strong">
    <w:name w:val="Strong"/>
    <w:basedOn w:val="DefaultParagraphFont"/>
    <w:uiPriority w:val="22"/>
    <w:qFormat/>
    <w:rsid w:val="00725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5074">
      <w:bodyDiv w:val="1"/>
      <w:marLeft w:val="0"/>
      <w:marRight w:val="0"/>
      <w:marTop w:val="0"/>
      <w:marBottom w:val="0"/>
      <w:divBdr>
        <w:top w:val="none" w:sz="0" w:space="0" w:color="auto"/>
        <w:left w:val="none" w:sz="0" w:space="0" w:color="auto"/>
        <w:bottom w:val="none" w:sz="0" w:space="0" w:color="auto"/>
        <w:right w:val="none" w:sz="0" w:space="0" w:color="auto"/>
      </w:divBdr>
    </w:div>
    <w:div w:id="228003613">
      <w:bodyDiv w:val="1"/>
      <w:marLeft w:val="0"/>
      <w:marRight w:val="0"/>
      <w:marTop w:val="0"/>
      <w:marBottom w:val="0"/>
      <w:divBdr>
        <w:top w:val="none" w:sz="0" w:space="0" w:color="auto"/>
        <w:left w:val="none" w:sz="0" w:space="0" w:color="auto"/>
        <w:bottom w:val="none" w:sz="0" w:space="0" w:color="auto"/>
        <w:right w:val="none" w:sz="0" w:space="0" w:color="auto"/>
      </w:divBdr>
    </w:div>
    <w:div w:id="395854998">
      <w:bodyDiv w:val="1"/>
      <w:marLeft w:val="0"/>
      <w:marRight w:val="0"/>
      <w:marTop w:val="0"/>
      <w:marBottom w:val="0"/>
      <w:divBdr>
        <w:top w:val="none" w:sz="0" w:space="0" w:color="auto"/>
        <w:left w:val="none" w:sz="0" w:space="0" w:color="auto"/>
        <w:bottom w:val="none" w:sz="0" w:space="0" w:color="auto"/>
        <w:right w:val="none" w:sz="0" w:space="0" w:color="auto"/>
      </w:divBdr>
    </w:div>
    <w:div w:id="685789365">
      <w:bodyDiv w:val="1"/>
      <w:marLeft w:val="0"/>
      <w:marRight w:val="0"/>
      <w:marTop w:val="0"/>
      <w:marBottom w:val="0"/>
      <w:divBdr>
        <w:top w:val="none" w:sz="0" w:space="0" w:color="auto"/>
        <w:left w:val="none" w:sz="0" w:space="0" w:color="auto"/>
        <w:bottom w:val="none" w:sz="0" w:space="0" w:color="auto"/>
        <w:right w:val="none" w:sz="0" w:space="0" w:color="auto"/>
      </w:divBdr>
    </w:div>
    <w:div w:id="1357659726">
      <w:bodyDiv w:val="1"/>
      <w:marLeft w:val="0"/>
      <w:marRight w:val="0"/>
      <w:marTop w:val="0"/>
      <w:marBottom w:val="0"/>
      <w:divBdr>
        <w:top w:val="none" w:sz="0" w:space="0" w:color="auto"/>
        <w:left w:val="none" w:sz="0" w:space="0" w:color="auto"/>
        <w:bottom w:val="none" w:sz="0" w:space="0" w:color="auto"/>
        <w:right w:val="none" w:sz="0" w:space="0" w:color="auto"/>
      </w:divBdr>
      <w:divsChild>
        <w:div w:id="1357072586">
          <w:marLeft w:val="547"/>
          <w:marRight w:val="0"/>
          <w:marTop w:val="144"/>
          <w:marBottom w:val="0"/>
          <w:divBdr>
            <w:top w:val="none" w:sz="0" w:space="0" w:color="auto"/>
            <w:left w:val="none" w:sz="0" w:space="0" w:color="auto"/>
            <w:bottom w:val="none" w:sz="0" w:space="0" w:color="auto"/>
            <w:right w:val="none" w:sz="0" w:space="0" w:color="auto"/>
          </w:divBdr>
        </w:div>
        <w:div w:id="482284403">
          <w:marLeft w:val="547"/>
          <w:marRight w:val="0"/>
          <w:marTop w:val="144"/>
          <w:marBottom w:val="0"/>
          <w:divBdr>
            <w:top w:val="none" w:sz="0" w:space="0" w:color="auto"/>
            <w:left w:val="none" w:sz="0" w:space="0" w:color="auto"/>
            <w:bottom w:val="none" w:sz="0" w:space="0" w:color="auto"/>
            <w:right w:val="none" w:sz="0" w:space="0" w:color="auto"/>
          </w:divBdr>
        </w:div>
        <w:div w:id="57749129">
          <w:marLeft w:val="547"/>
          <w:marRight w:val="0"/>
          <w:marTop w:val="144"/>
          <w:marBottom w:val="0"/>
          <w:divBdr>
            <w:top w:val="none" w:sz="0" w:space="0" w:color="auto"/>
            <w:left w:val="none" w:sz="0" w:space="0" w:color="auto"/>
            <w:bottom w:val="none" w:sz="0" w:space="0" w:color="auto"/>
            <w:right w:val="none" w:sz="0" w:space="0" w:color="auto"/>
          </w:divBdr>
        </w:div>
      </w:divsChild>
    </w:div>
    <w:div w:id="1366755518">
      <w:bodyDiv w:val="1"/>
      <w:marLeft w:val="0"/>
      <w:marRight w:val="0"/>
      <w:marTop w:val="0"/>
      <w:marBottom w:val="0"/>
      <w:divBdr>
        <w:top w:val="none" w:sz="0" w:space="0" w:color="auto"/>
        <w:left w:val="none" w:sz="0" w:space="0" w:color="auto"/>
        <w:bottom w:val="none" w:sz="0" w:space="0" w:color="auto"/>
        <w:right w:val="none" w:sz="0" w:space="0" w:color="auto"/>
      </w:divBdr>
    </w:div>
    <w:div w:id="1444226887">
      <w:bodyDiv w:val="1"/>
      <w:marLeft w:val="0"/>
      <w:marRight w:val="0"/>
      <w:marTop w:val="0"/>
      <w:marBottom w:val="0"/>
      <w:divBdr>
        <w:top w:val="none" w:sz="0" w:space="0" w:color="auto"/>
        <w:left w:val="none" w:sz="0" w:space="0" w:color="auto"/>
        <w:bottom w:val="none" w:sz="0" w:space="0" w:color="auto"/>
        <w:right w:val="none" w:sz="0" w:space="0" w:color="auto"/>
      </w:divBdr>
    </w:div>
    <w:div w:id="1460563598">
      <w:bodyDiv w:val="1"/>
      <w:marLeft w:val="0"/>
      <w:marRight w:val="0"/>
      <w:marTop w:val="0"/>
      <w:marBottom w:val="0"/>
      <w:divBdr>
        <w:top w:val="none" w:sz="0" w:space="0" w:color="auto"/>
        <w:left w:val="none" w:sz="0" w:space="0" w:color="auto"/>
        <w:bottom w:val="none" w:sz="0" w:space="0" w:color="auto"/>
        <w:right w:val="none" w:sz="0" w:space="0" w:color="auto"/>
      </w:divBdr>
    </w:div>
    <w:div w:id="154817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xhstore05\rmdept\Duty%20of%20Candour\Annual%20Reports\24-25\Data\2025.06.17%20DOC%20confirmed%20data%20for%20repo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Sheet2!$C$6</c:f>
              <c:strCache>
                <c:ptCount val="1"/>
                <c:pt idx="0">
                  <c:v>Adverse Event Category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Sheet2!$D$5:$L$5</c:f>
              <c:strCache>
                <c:ptCount val="9"/>
                <c:pt idx="0">
                  <c:v>Pressure ulcer: developing after admission</c:v>
                </c:pt>
                <c:pt idx="1">
                  <c:v>Slip, Trip or Fall</c:v>
                </c:pt>
                <c:pt idx="2">
                  <c:v>Treatment / Care</c:v>
                </c:pt>
                <c:pt idx="3">
                  <c:v>Minor / Major Surgical Operations/Procedures </c:v>
                </c:pt>
                <c:pt idx="4">
                  <c:v>Pressure ulcer: community acquired</c:v>
                </c:pt>
                <c:pt idx="5">
                  <c:v>Cardiac Arrest</c:v>
                </c:pt>
                <c:pt idx="6">
                  <c:v>Investigation Requests / Reports / Specimens </c:v>
                </c:pt>
                <c:pt idx="7">
                  <c:v>Blood Transfusion</c:v>
                </c:pt>
                <c:pt idx="8">
                  <c:v>Infection Control</c:v>
                </c:pt>
              </c:strCache>
            </c:strRef>
          </c:cat>
          <c:val>
            <c:numRef>
              <c:f>Sheet2!$D$6:$L$6</c:f>
              <c:numCache>
                <c:formatCode>General</c:formatCode>
                <c:ptCount val="9"/>
                <c:pt idx="0">
                  <c:v>50</c:v>
                </c:pt>
                <c:pt idx="1">
                  <c:v>17</c:v>
                </c:pt>
                <c:pt idx="2">
                  <c:v>10</c:v>
                </c:pt>
                <c:pt idx="3">
                  <c:v>4</c:v>
                </c:pt>
                <c:pt idx="4">
                  <c:v>4</c:v>
                </c:pt>
                <c:pt idx="5">
                  <c:v>4</c:v>
                </c:pt>
                <c:pt idx="6">
                  <c:v>2</c:v>
                </c:pt>
                <c:pt idx="7">
                  <c:v>1</c:v>
                </c:pt>
                <c:pt idx="8">
                  <c:v>1</c:v>
                </c:pt>
              </c:numCache>
            </c:numRef>
          </c:val>
          <c:extLst xmlns:c16r2="http://schemas.microsoft.com/office/drawing/2015/06/chart">
            <c:ext xmlns:c16="http://schemas.microsoft.com/office/drawing/2014/chart" uri="{C3380CC4-5D6E-409C-BE32-E72D297353CC}">
              <c16:uniqueId val="{00000000-9902-44BD-AFC7-829C56C59FBE}"/>
            </c:ext>
          </c:extLst>
        </c:ser>
        <c:dLbls>
          <c:dLblPos val="outEnd"/>
          <c:showLegendKey val="0"/>
          <c:showVal val="1"/>
          <c:showCatName val="0"/>
          <c:showSerName val="0"/>
          <c:showPercent val="0"/>
          <c:showBubbleSize val="0"/>
        </c:dLbls>
        <c:gapWidth val="100"/>
        <c:axId val="568670352"/>
        <c:axId val="568670744"/>
      </c:barChart>
      <c:catAx>
        <c:axId val="56867035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8670744"/>
        <c:crosses val="autoZero"/>
        <c:auto val="1"/>
        <c:lblAlgn val="ctr"/>
        <c:lblOffset val="100"/>
        <c:noMultiLvlLbl val="0"/>
      </c:catAx>
      <c:valAx>
        <c:axId val="56867074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867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A32173365</value>
    </field>
    <field name="Objective-Title">
      <value order="0">Duty of Candour - Annual Report template</value>
    </field>
    <field name="Objective-Description">
      <value order="0"/>
    </field>
    <field name="Objective-CreationStamp">
      <value order="0">2021-02-23T09:39:43Z</value>
    </field>
    <field name="Objective-IsApproved">
      <value order="0">false</value>
    </field>
    <field name="Objective-IsPublished">
      <value order="0">false</value>
    </field>
    <field name="Objective-DatePublished">
      <value order="0"/>
    </field>
    <field name="Objective-ModificationStamp">
      <value order="0">2021-04-19T14:07:50Z</value>
    </field>
    <field name="Objective-Owner">
      <value order="0">Nichols, Kay K (U447508)</value>
    </field>
    <field name="Objective-Path">
      <value order="0">Objective Global Folder:SG File Plan:Health, nutrition and care:National Health Service (NHS):NHS management:Advice and policy: NHS management (2005-2017):Planning and Quality: Duty of Candour and Wilful Neglect: Implementation: 2016-2021</value>
    </field>
    <field name="Objective-Parent">
      <value order="0">Planning and Quality: Duty of Candour and Wilful Neglect: Implementation: 2016-2021</value>
    </field>
    <field name="Objective-State">
      <value order="0">Being Drafted</value>
    </field>
    <field name="Objective-VersionId">
      <value order="0">vA48090058</value>
    </field>
    <field name="Objective-Version">
      <value order="0">0.10</value>
    </field>
    <field name="Objective-VersionNumber">
      <value order="0">10</value>
    </field>
    <field name="Objective-VersionComment">
      <value order="0"/>
    </field>
    <field name="Objective-FileNumber">
      <value order="0">POL/23725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9ECE214-F034-40D5-9364-7984C90C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K (Kay)</dc:creator>
  <cp:keywords/>
  <dc:description/>
  <cp:lastModifiedBy>Debbie McCard (AA Risk Management)</cp:lastModifiedBy>
  <cp:revision>2</cp:revision>
  <cp:lastPrinted>2024-06-18T08:34:00Z</cp:lastPrinted>
  <dcterms:created xsi:type="dcterms:W3CDTF">2025-08-11T08:31:00Z</dcterms:created>
  <dcterms:modified xsi:type="dcterms:W3CDTF">2025-08-11T08:31:00Z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A32173365</vt:lpwstr>
  </property>
  <property fmtid="{D5CDD505-2E9C-101B-9397-08002B2CF9AE}" pid="4" name="Objective-Title">
    <vt:lpwstr>Duty of Candour - Annual Report template</vt:lpwstr>
  </property>
  <property fmtid="{D5CDD505-2E9C-101B-9397-08002B2CF9AE}" pid="5" name="Objective-Description">
    <vt:lpwstr/>
  </property>
  <property fmtid="{D5CDD505-2E9C-101B-9397-08002B2CF9AE}" pid="6" name="Objective-CreationStamp">
    <vt:filetime>2021-02-23T09:39:43Z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2021-04-19T14:07:50Z</vt:filetime>
  </property>
  <property fmtid="{D5CDD505-2E9C-101B-9397-08002B2CF9AE}" pid="11" name="Objective-Owner">
    <vt:lpwstr>Nichols, Kay K (U447508)</vt:lpwstr>
  </property>
  <property fmtid="{D5CDD505-2E9C-101B-9397-08002B2CF9AE}" pid="12" name="Objective-Path">
    <vt:lpwstr>Objective Global Folder:SG File Plan:Health, nutrition and care:National Health Service (NHS):NHS management:Advice and policy: NHS management (2005-2017):Planning and Quality: Duty of Candour and Wilful Neglect: Implementation: 2016-2021</vt:lpwstr>
  </property>
  <property fmtid="{D5CDD505-2E9C-101B-9397-08002B2CF9AE}" pid="13" name="Objective-Parent">
    <vt:lpwstr>Planning and Quality: Duty of Candour and Wilful Neglect: Implementation: 2016-2021</vt:lpwstr>
  </property>
  <property fmtid="{D5CDD505-2E9C-101B-9397-08002B2CF9AE}" pid="14" name="Objective-State">
    <vt:lpwstr>Being Drafted</vt:lpwstr>
  </property>
  <property fmtid="{D5CDD505-2E9C-101B-9397-08002B2CF9AE}" pid="15" name="Objective-VersionId">
    <vt:lpwstr>vA48090058</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POL/23725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